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5.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4644"/>
        <w:gridCol w:w="4645"/>
      </w:tblGrid>
      <w:tr w:rsidRPr="009A3522" w:rsidR="000D6A84" w:rsidTr="006D78CA" w14:paraId="3610863D" w14:textId="77777777">
        <w:trPr>
          <w:cantSplit/>
        </w:trPr>
        <w:tc>
          <w:tcPr>
            <w:tcW w:w="4644" w:type="dxa"/>
          </w:tcPr>
          <w:p w:rsidRPr="009A3522" w:rsidR="000D6A84" w:rsidP="001B33A4" w:rsidRDefault="000D6A84" w14:paraId="418167B5" w14:textId="77777777">
            <w:pPr>
              <w:rPr>
                <w:lang w:val="en-GB"/>
              </w:rPr>
            </w:pPr>
            <w:bookmarkStart w:name="_GoBack" w:id="0"/>
            <w:bookmarkEnd w:id="0"/>
            <w:r w:rsidRPr="001560D2">
              <w:rPr>
                <w:noProof/>
              </w:rPr>
              <w:drawing>
                <wp:inline distT="0" distB="0" distL="0" distR="0" wp14:anchorId="504E12B2" wp14:editId="5E3013CC">
                  <wp:extent cx="1800000" cy="1559336"/>
                  <wp:effectExtent l="0" t="0" r="0" b="3175"/>
                  <wp:docPr id="37" name="Picture 37" descr="C:\Users\mreg\Music\New LOGO\Logo\logo_CoR-vertical-positive-en-quadri_MR.jpg" title="CoR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reg\Music\New LOGO\Logo\logo_CoR-vertical-positive-en-quadri_M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0000" cy="1559336"/>
                          </a:xfrm>
                          <a:prstGeom prst="rect">
                            <a:avLst/>
                          </a:prstGeom>
                          <a:noFill/>
                          <a:ln>
                            <a:noFill/>
                          </a:ln>
                        </pic:spPr>
                      </pic:pic>
                    </a:graphicData>
                  </a:graphic>
                </wp:inline>
              </w:drawing>
            </w:r>
          </w:p>
        </w:tc>
        <w:tc>
          <w:tcPr>
            <w:tcW w:w="4645" w:type="dxa"/>
          </w:tcPr>
          <w:p w:rsidRPr="009A3522" w:rsidR="000D6A84" w:rsidP="001B33A4" w:rsidRDefault="000D6A84" w14:paraId="1C7455E9" w14:textId="77777777">
            <w:pPr>
              <w:rPr>
                <w:lang w:val="en-GB"/>
              </w:rPr>
            </w:pPr>
          </w:p>
        </w:tc>
      </w:tr>
      <w:tr w:rsidRPr="009A3522" w:rsidR="00444A98" w:rsidTr="006D78CA" w14:paraId="55E48AD3" w14:textId="77777777">
        <w:trPr>
          <w:cantSplit/>
        </w:trPr>
        <w:tc>
          <w:tcPr>
            <w:tcW w:w="9289" w:type="dxa"/>
            <w:gridSpan w:val="2"/>
          </w:tcPr>
          <w:p w:rsidRPr="009A3522" w:rsidR="00444A98" w:rsidP="003A043C" w:rsidRDefault="00401875" w14:paraId="32FAADA6" w14:textId="52958269">
            <w:pPr>
              <w:jc w:val="right"/>
              <w:rPr>
                <w:b/>
                <w:bCs/>
                <w:sz w:val="28"/>
                <w:lang w:val="en-GB"/>
              </w:rPr>
            </w:pPr>
            <w:r w:rsidRPr="009A3522">
              <w:rPr>
                <w:b/>
                <w:bCs/>
                <w:sz w:val="28"/>
                <w:lang w:val="en-GB"/>
              </w:rPr>
              <w:t>NAT</w:t>
            </w:r>
            <w:r w:rsidRPr="009A3522" w:rsidR="00D336CE">
              <w:rPr>
                <w:b/>
                <w:bCs/>
                <w:sz w:val="28"/>
                <w:lang w:val="en-GB"/>
              </w:rPr>
              <w:t>-</w:t>
            </w:r>
            <w:r w:rsidRPr="009A3522">
              <w:rPr>
                <w:b/>
                <w:bCs/>
                <w:sz w:val="28"/>
                <w:lang w:val="en-GB"/>
              </w:rPr>
              <w:t>VII</w:t>
            </w:r>
            <w:r w:rsidRPr="009A3522" w:rsidR="00D336CE">
              <w:rPr>
                <w:b/>
                <w:bCs/>
                <w:sz w:val="28"/>
                <w:lang w:val="en-GB"/>
              </w:rPr>
              <w:t>/</w:t>
            </w:r>
            <w:r w:rsidRPr="009A3522">
              <w:rPr>
                <w:b/>
                <w:bCs/>
                <w:sz w:val="28"/>
                <w:lang w:val="en-GB"/>
              </w:rPr>
              <w:t>037</w:t>
            </w:r>
          </w:p>
        </w:tc>
      </w:tr>
      <w:tr w:rsidRPr="009A3522" w:rsidR="00444A98" w:rsidTr="006D78CA" w14:paraId="38017C10" w14:textId="77777777">
        <w:tc>
          <w:tcPr>
            <w:tcW w:w="9289" w:type="dxa"/>
            <w:gridSpan w:val="2"/>
          </w:tcPr>
          <w:p w:rsidRPr="009A3522" w:rsidR="00444A98" w:rsidP="003A043C" w:rsidRDefault="00541AB8" w14:paraId="3BAEB278" w14:textId="3DA940FD">
            <w:pPr>
              <w:jc w:val="center"/>
              <w:rPr>
                <w:b/>
                <w:bCs/>
                <w:sz w:val="28"/>
                <w:lang w:val="en-GB"/>
              </w:rPr>
            </w:pPr>
            <w:r w:rsidRPr="00B37421">
              <w:rPr>
                <w:b/>
                <w:sz w:val="28"/>
                <w:lang w:val="en-GB"/>
              </w:rPr>
              <w:t>158th CoR Plenary session, 29-30 November 2023</w:t>
            </w:r>
          </w:p>
        </w:tc>
      </w:tr>
    </w:tbl>
    <w:p w:rsidRPr="009A3522" w:rsidR="00444A98" w:rsidP="001560D2" w:rsidRDefault="009A16C1" w14:paraId="2C013CD1" w14:textId="20C72FEB">
      <w:pPr>
        <w:tabs>
          <w:tab w:val="left" w:pos="4011"/>
        </w:tabs>
        <w:rPr>
          <w:lang w:val="en-GB"/>
        </w:rPr>
      </w:pPr>
      <w:r w:rsidRPr="001560D2">
        <w:rPr>
          <w:noProof/>
        </w:rPr>
        <mc:AlternateContent>
          <mc:Choice Requires="wps">
            <w:drawing>
              <wp:anchor distT="0" distB="0" distL="114300" distR="114300" simplePos="0" relativeHeight="251655680" behindDoc="1" locked="0" layoutInCell="0" allowOverlap="1" wp14:editId="0F19F25A" wp14:anchorId="757470D8">
                <wp:simplePos x="0" y="0"/>
                <wp:positionH relativeFrom="page">
                  <wp:posOffset>6769100</wp:posOffset>
                </wp:positionH>
                <wp:positionV relativeFrom="page">
                  <wp:posOffset>10081260</wp:posOffset>
                </wp:positionV>
                <wp:extent cx="647700" cy="39624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B33430" w:rsidR="00444A98" w:rsidRDefault="00444A98" w14:paraId="1D4F189D" w14:textId="77777777">
                            <w:pPr>
                              <w:jc w:val="center"/>
                              <w:rPr>
                                <w:rFonts w:ascii="Arial" w:hAnsi="Arial" w:cs="Arial"/>
                                <w:b/>
                                <w:bCs/>
                                <w:sz w:val="48"/>
                              </w:rPr>
                            </w:pPr>
                            <w:r w:rsidRPr="00B33430">
                              <w:rPr>
                                <w:rFonts w:ascii="Arial" w:hAnsi="Arial" w:cs="Arial"/>
                                <w:b/>
                                <w:bCs/>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57470D8">
                <v:stroke joinstyle="miter"/>
                <v:path gradientshapeok="t" o:connecttype="rect"/>
              </v:shapetype>
              <v:shape id="Text Box 3" style="position:absolute;left:0;text-align:left;margin-left:533pt;margin-top:793.8pt;width:51pt;height:31.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reQtQIAALg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iOMBO2gRY9sNOhOjujaVmfodQpODz24mRGOocsuU93fy/KbRkKuGiq27FYpOTSMVsAutDf9i6sT&#10;jrYgm+GjrCAM3RnpgMZadbZ0UAwE6NClp1NnLJUSDmMynwdgKcF0ncQRcZ3zaXq83Ctt3jPZIbvI&#10;sILGO3C6v9fGkqHp0cXGErLgbeua34pnB+A4nUBouGptloTr5c8kSNaL9YJ4JIrXHgny3LstVsSL&#10;i3A+y6/z1SoPf9m4IUkbXlVM2DBHXYXkz/p2UPikiJOytGx5ZeEsJa22m1Wr0J6Crgv3uZKD5ezm&#10;P6fhigC5vEgphGLeRYlXxIu5Rwoy85J5sPCCMLlL4oAkJC+ep3TPBfv3lNCQ4WQWzSYtnUm/yC1w&#10;3+vcaNpxA5Oj5V2GFycnmloFrkXlWmsob6f1RSks/XMpoN3HRju9WolOYjXjZgQUK+KNrJ5AuUqC&#10;skCEMO5g0Uj1A6MBRkeG9fcdVQyj9oMA9SchAX0i4zZkNo9goy4tm0sLFSVAZdhgNC1XZppPu17x&#10;bQORpvcm5C28mJo7NZ9ZHd4ZjAeX1GGU2flzuXde54G7/A0AAP//AwBQSwMEFAAGAAgAAAAhAOtU&#10;MVreAAAADwEAAA8AAABkcnMvZG93bnJldi54bWxMT0FOwzAQvCPxB2uRuFG7iJgQ4lQIxBVEgUq9&#10;ufE2iYjXUew24fdsT/Q2szOanSlXs+/FEcfYBTKwXCgQSHVwHTUGvj5fb3IQMVlytg+EBn4xwqq6&#10;vCht4cJEH3hcp0ZwCMXCGmhTGgopY92it3ERBiTW9mH0NjEdG+lGO3G47+WtUlp62xF/aO2Azy3W&#10;P+uDN/D9tt9u7tR78+KzYQqzkuQfpDHXV/PTI4iEc/o3w6k+V4eKO+3CgVwUPXOlNY9JjLL8XoM4&#10;eZY659uOkc6UAlmV8nxH9QcAAP//AwBQSwECLQAUAAYACAAAACEAtoM4kv4AAADhAQAAEwAAAAAA&#10;AAAAAAAAAAAAAAAAW0NvbnRlbnRfVHlwZXNdLnhtbFBLAQItABQABgAIAAAAIQA4/SH/1gAAAJQB&#10;AAALAAAAAAAAAAAAAAAAAC8BAABfcmVscy8ucmVsc1BLAQItABQABgAIAAAAIQC0IreQtQIAALgF&#10;AAAOAAAAAAAAAAAAAAAAAC4CAABkcnMvZTJvRG9jLnhtbFBLAQItABQABgAIAAAAIQDrVDFa3gAA&#10;AA8BAAAPAAAAAAAAAAAAAAAAAA8FAABkcnMvZG93bnJldi54bWxQSwUGAAAAAAQABADzAAAAGgYA&#10;AAAA&#10;">
                <v:textbox>
                  <w:txbxContent>
                    <w:p w:rsidRPr="00B33430" w:rsidR="00444A98" w:rsidRDefault="00444A98" w14:paraId="1D4F189D" w14:textId="77777777">
                      <w:pPr>
                        <w:jc w:val="center"/>
                        <w:rPr>
                          <w:rFonts w:ascii="Arial" w:hAnsi="Arial" w:cs="Arial"/>
                          <w:b/>
                          <w:bCs/>
                          <w:sz w:val="48"/>
                        </w:rPr>
                      </w:pPr>
                      <w:r w:rsidRPr="00B33430">
                        <w:rPr>
                          <w:rFonts w:ascii="Arial" w:hAnsi="Arial" w:cs="Arial"/>
                          <w:b/>
                          <w:bCs/>
                          <w:sz w:val="48"/>
                        </w:rPr>
                        <w:t>EN</w:t>
                      </w:r>
                    </w:p>
                  </w:txbxContent>
                </v:textbox>
                <w10:wrap anchorx="page" anchory="page"/>
              </v:shape>
            </w:pict>
          </mc:Fallback>
        </mc:AlternateContent>
      </w:r>
    </w:p>
    <w:p w:rsidRPr="009A3522" w:rsidR="00444A98" w:rsidP="003A043C" w:rsidRDefault="00444A98" w14:paraId="4686F0F2" w14:textId="77777777">
      <w:pPr>
        <w:rPr>
          <w:lang w:val="en-GB"/>
        </w:rPr>
      </w:pPr>
    </w:p>
    <w:p w:rsidRPr="009A3522" w:rsidR="001B33A4" w:rsidP="003A043C" w:rsidRDefault="00444A98" w14:paraId="41D657A5" w14:textId="11F9524A">
      <w:pPr>
        <w:jc w:val="center"/>
        <w:rPr>
          <w:b/>
          <w:bCs/>
          <w:sz w:val="28"/>
          <w:lang w:val="en-GB"/>
        </w:rPr>
      </w:pPr>
      <w:r w:rsidRPr="009A3522">
        <w:rPr>
          <w:b/>
          <w:bCs/>
          <w:sz w:val="28"/>
          <w:lang w:val="en-GB"/>
        </w:rPr>
        <w:t>OPINION</w:t>
      </w:r>
    </w:p>
    <w:p w:rsidRPr="009A3522" w:rsidR="001B33A4" w:rsidP="006D78CA" w:rsidRDefault="001B33A4" w14:paraId="56ED25B7" w14:textId="77777777">
      <w:pPr>
        <w:rPr>
          <w:lang w:val="en-GB"/>
        </w:rPr>
      </w:pPr>
    </w:p>
    <w:p w:rsidRPr="009A3522" w:rsidR="00444A98" w:rsidP="003A043C" w:rsidRDefault="00401875" w14:paraId="35217CF9" w14:textId="1D79AA30">
      <w:pPr>
        <w:jc w:val="center"/>
        <w:rPr>
          <w:sz w:val="28"/>
          <w:szCs w:val="28"/>
          <w:lang w:val="en-GB"/>
        </w:rPr>
      </w:pPr>
      <w:r w:rsidRPr="009A3522">
        <w:rPr>
          <w:b/>
          <w:bCs/>
          <w:sz w:val="28"/>
          <w:szCs w:val="28"/>
          <w:lang w:val="en-GB"/>
        </w:rPr>
        <w:t>The role of cities as health promoters</w:t>
      </w:r>
    </w:p>
    <w:p w:rsidR="00541AB8" w:rsidP="0041779D" w:rsidRDefault="00541AB8" w14:paraId="5E75722B" w14:textId="5AA9C651">
      <w:pPr>
        <w:rPr>
          <w:szCs w:val="24"/>
          <w:lang w:val="en-GB"/>
        </w:rPr>
      </w:pPr>
    </w:p>
    <w:p w:rsidRPr="001560D2" w:rsidR="00541AB8" w:rsidP="0041779D" w:rsidRDefault="00541AB8" w14:paraId="3E2A0471" w14:textId="77777777">
      <w:pPr>
        <w:rPr>
          <w:szCs w:val="24"/>
          <w:lang w:val="en-GB"/>
        </w:rPr>
      </w:pPr>
    </w:p>
    <w:tbl>
      <w:tblPr>
        <w:tblW w:w="0" w:type="auto"/>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9289"/>
      </w:tblGrid>
      <w:tr w:rsidRPr="009A3522" w:rsidR="0041779D" w:rsidTr="0051331D" w14:paraId="449DDD9D" w14:textId="77777777">
        <w:tc>
          <w:tcPr>
            <w:tcW w:w="9289" w:type="dxa"/>
            <w:tcBorders>
              <w:top w:val="single" w:color="auto" w:sz="4" w:space="0"/>
              <w:bottom w:val="single" w:color="auto" w:sz="4" w:space="0"/>
            </w:tcBorders>
          </w:tcPr>
          <w:p w:rsidRPr="00557BB7" w:rsidR="002343E6" w:rsidP="00557BB7" w:rsidRDefault="00E203BB" w14:paraId="2C93652E" w14:textId="034B6440">
            <w:pPr>
              <w:rPr>
                <w:szCs w:val="24"/>
                <w:lang w:val="en-GB"/>
              </w:rPr>
            </w:pPr>
            <w:r w:rsidRPr="00F940B1">
              <w:rPr>
                <w:szCs w:val="24"/>
                <w:lang w:val="en-GB"/>
              </w:rPr>
              <w:t>THE EUROPEAN COMMITTEE OF THE REGIONS</w:t>
            </w:r>
          </w:p>
          <w:p w:rsidR="001363AB" w:rsidRDefault="001363AB" w14:paraId="68580F16" w14:textId="77777777">
            <w:pPr>
              <w:rPr>
                <w:szCs w:val="24"/>
                <w:lang w:val="en-GB"/>
              </w:rPr>
            </w:pPr>
          </w:p>
          <w:p w:rsidRPr="00F940B1" w:rsidR="00E203BB" w:rsidP="00F940B1" w:rsidRDefault="00101304" w14:paraId="6AC2BD4B" w14:textId="33479741">
            <w:pPr>
              <w:pStyle w:val="ListParagraph"/>
              <w:numPr>
                <w:ilvl w:val="3"/>
                <w:numId w:val="19"/>
              </w:numPr>
              <w:spacing w:before="60"/>
              <w:ind w:left="313"/>
              <w:contextualSpacing w:val="0"/>
              <w:rPr>
                <w:szCs w:val="24"/>
                <w:lang w:val="en-GB"/>
              </w:rPr>
            </w:pPr>
            <w:r w:rsidRPr="001363AB">
              <w:rPr>
                <w:szCs w:val="24"/>
                <w:lang w:val="en-GB"/>
              </w:rPr>
              <w:t>calls on all elected representatives to include health considerations in their policy-making processes and to prioritise health promotion and healthy living when deciding on urban planning and the built environment, parks and recreation facilities, mobility and transport, early childhood and education, long-term care and many other sectors</w:t>
            </w:r>
            <w:r w:rsidR="00557BB7">
              <w:rPr>
                <w:szCs w:val="24"/>
                <w:lang w:val="en-GB"/>
              </w:rPr>
              <w:t>;</w:t>
            </w:r>
          </w:p>
          <w:p w:rsidRPr="00F940B1" w:rsidR="002343E6" w:rsidP="00F940B1" w:rsidRDefault="00101304" w14:paraId="0AD33126" w14:textId="2A99FD37">
            <w:pPr>
              <w:pStyle w:val="ListParagraph"/>
              <w:numPr>
                <w:ilvl w:val="3"/>
                <w:numId w:val="19"/>
              </w:numPr>
              <w:spacing w:before="60"/>
              <w:ind w:left="313"/>
              <w:contextualSpacing w:val="0"/>
              <w:rPr>
                <w:szCs w:val="24"/>
                <w:lang w:val="en-GB"/>
              </w:rPr>
            </w:pPr>
            <w:r w:rsidRPr="00F940B1">
              <w:rPr>
                <w:szCs w:val="24"/>
                <w:lang w:val="en-GB"/>
              </w:rPr>
              <w:t>calls on the European Commission to commission a new edition of the outdated 2013 report on social determinants and health inequalities in the EU</w:t>
            </w:r>
            <w:r w:rsidR="00557BB7">
              <w:rPr>
                <w:szCs w:val="24"/>
                <w:lang w:val="en-GB"/>
              </w:rPr>
              <w:t>;</w:t>
            </w:r>
          </w:p>
          <w:p w:rsidRPr="00F940B1" w:rsidR="00101304" w:rsidP="00F940B1" w:rsidRDefault="00101304" w14:paraId="51656CF1" w14:textId="55B9505E">
            <w:pPr>
              <w:pStyle w:val="ListParagraph"/>
              <w:numPr>
                <w:ilvl w:val="3"/>
                <w:numId w:val="19"/>
              </w:numPr>
              <w:spacing w:before="60"/>
              <w:ind w:left="313"/>
              <w:contextualSpacing w:val="0"/>
              <w:rPr>
                <w:szCs w:val="24"/>
                <w:lang w:val="en-GB"/>
              </w:rPr>
            </w:pPr>
            <w:r w:rsidRPr="00F940B1">
              <w:rPr>
                <w:szCs w:val="24"/>
                <w:lang w:val="en-GB"/>
              </w:rPr>
              <w:t>calls on the European Parliament, ahead of the 2024 elections, to scale up action to promote public social, physical and mental health, prevention and equity and to retain health as one of the key priorities for the next mandate;</w:t>
            </w:r>
          </w:p>
          <w:p w:rsidRPr="00F940B1" w:rsidR="00101304" w:rsidP="00F940B1" w:rsidRDefault="00101304" w14:paraId="623CA566" w14:textId="6E73ABE6">
            <w:pPr>
              <w:pStyle w:val="ListParagraph"/>
              <w:numPr>
                <w:ilvl w:val="3"/>
                <w:numId w:val="19"/>
              </w:numPr>
              <w:spacing w:before="60"/>
              <w:ind w:left="313"/>
              <w:contextualSpacing w:val="0"/>
              <w:rPr>
                <w:szCs w:val="24"/>
                <w:lang w:val="en-GB"/>
              </w:rPr>
            </w:pPr>
            <w:r w:rsidRPr="00F940B1">
              <w:rPr>
                <w:szCs w:val="24"/>
                <w:lang w:val="en-GB"/>
              </w:rPr>
              <w:t>calls on the Member States and the EU institutions to prioritise health promotion, protection and prevention in the discussion on the midterm review of the MFF and the EU4Health programme;</w:t>
            </w:r>
          </w:p>
          <w:p w:rsidR="001363AB" w:rsidP="00F940B1" w:rsidRDefault="00101304" w14:paraId="7BF1D92B" w14:textId="7093FAD3">
            <w:pPr>
              <w:pStyle w:val="ListParagraph"/>
              <w:numPr>
                <w:ilvl w:val="3"/>
                <w:numId w:val="19"/>
              </w:numPr>
              <w:spacing w:before="60"/>
              <w:ind w:left="313"/>
              <w:contextualSpacing w:val="0"/>
              <w:rPr>
                <w:szCs w:val="24"/>
                <w:lang w:val="en-GB"/>
              </w:rPr>
            </w:pPr>
            <w:r w:rsidRPr="00F940B1">
              <w:rPr>
                <w:szCs w:val="24"/>
                <w:lang w:val="en-GB"/>
              </w:rPr>
              <w:t>calls on the Member States to further strengthen health promotion and disease prevention and to clearly communicate the social and economic advantages of preventive health care expenditure</w:t>
            </w:r>
            <w:r w:rsidR="00557BB7">
              <w:rPr>
                <w:szCs w:val="24"/>
                <w:lang w:val="en-GB"/>
              </w:rPr>
              <w:t>;</w:t>
            </w:r>
          </w:p>
          <w:p w:rsidRPr="001363AB" w:rsidR="001363AB" w:rsidP="00F940B1" w:rsidRDefault="001363AB" w14:paraId="1CD00254" w14:textId="724DFBBC">
            <w:pPr>
              <w:pStyle w:val="ListParagraph"/>
              <w:numPr>
                <w:ilvl w:val="3"/>
                <w:numId w:val="19"/>
              </w:numPr>
              <w:spacing w:before="60"/>
              <w:ind w:left="313"/>
              <w:contextualSpacing w:val="0"/>
              <w:rPr>
                <w:szCs w:val="24"/>
                <w:lang w:val="en-GB"/>
              </w:rPr>
            </w:pPr>
            <w:r w:rsidRPr="00F940B1">
              <w:rPr>
                <w:szCs w:val="24"/>
                <w:lang w:val="en-GB"/>
              </w:rPr>
              <w:t>calls on municipal councils to promote and facilitate urban design strategies that can create walking-friendly and cycling-friendly communities with safe, attractive and accessible public open spaces and re</w:t>
            </w:r>
            <w:r w:rsidR="00557BB7">
              <w:rPr>
                <w:szCs w:val="24"/>
                <w:lang w:val="en-GB"/>
              </w:rPr>
              <w:t>iterate</w:t>
            </w:r>
            <w:r w:rsidRPr="00F940B1">
              <w:rPr>
                <w:szCs w:val="24"/>
                <w:lang w:val="en-GB"/>
              </w:rPr>
              <w:t>s that green spaces yield positive effects on both short-term and long-term mental health outcomes</w:t>
            </w:r>
            <w:r w:rsidR="00557BB7">
              <w:rPr>
                <w:szCs w:val="24"/>
                <w:lang w:val="en-GB"/>
              </w:rPr>
              <w:t>;</w:t>
            </w:r>
          </w:p>
          <w:p w:rsidRPr="001363AB" w:rsidR="001363AB" w:rsidP="00F940B1" w:rsidRDefault="001363AB" w14:paraId="666811E3" w14:textId="06464CDA">
            <w:pPr>
              <w:pStyle w:val="ListParagraph"/>
              <w:numPr>
                <w:ilvl w:val="3"/>
                <w:numId w:val="19"/>
              </w:numPr>
              <w:spacing w:before="60"/>
              <w:ind w:left="313"/>
              <w:contextualSpacing w:val="0"/>
              <w:rPr>
                <w:b/>
                <w:bCs/>
                <w:szCs w:val="24"/>
                <w:lang w:val="en-GB"/>
              </w:rPr>
            </w:pPr>
            <w:r w:rsidRPr="001363AB">
              <w:rPr>
                <w:lang w:val="en-GB"/>
              </w:rPr>
              <w:t>calls for more funding for local and regional substance use prevention and harm reduction programmes</w:t>
            </w:r>
            <w:r w:rsidR="00557BB7">
              <w:rPr>
                <w:lang w:val="en-GB"/>
              </w:rPr>
              <w:t>.</w:t>
            </w:r>
          </w:p>
          <w:p w:rsidRPr="001560D2" w:rsidR="0041779D" w:rsidP="00F940B1" w:rsidRDefault="0041779D" w14:paraId="0A56F266" w14:textId="4CA4D5E3">
            <w:pPr>
              <w:pStyle w:val="ListParagraph"/>
              <w:ind w:left="0"/>
              <w:rPr>
                <w:lang w:val="en-GB"/>
              </w:rPr>
            </w:pPr>
          </w:p>
        </w:tc>
      </w:tr>
    </w:tbl>
    <w:p w:rsidRPr="009A3522" w:rsidR="003E1CB2" w:rsidP="000D6A84" w:rsidRDefault="003E1CB2" w14:paraId="4FA1622F" w14:textId="6AAE3A22">
      <w:pPr>
        <w:rPr>
          <w:lang w:val="en-GB"/>
        </w:rPr>
      </w:pPr>
      <w:r w:rsidRPr="001560D2">
        <w:rPr>
          <w:noProof/>
        </w:rPr>
        <w:drawing>
          <wp:anchor distT="0" distB="0" distL="114300" distR="114300" simplePos="0" relativeHeight="251659776" behindDoc="0" locked="0" layoutInCell="1" allowOverlap="1" wp14:editId="687D931E" wp14:anchorId="71731F1D">
            <wp:simplePos x="0" y="0"/>
            <wp:positionH relativeFrom="column">
              <wp:posOffset>-54107</wp:posOffset>
            </wp:positionH>
            <wp:positionV relativeFrom="page">
              <wp:posOffset>10206395</wp:posOffset>
            </wp:positionV>
            <wp:extent cx="5759450" cy="2914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759450" cy="291465"/>
                    </a:xfrm>
                    <a:prstGeom prst="rect">
                      <a:avLst/>
                    </a:prstGeom>
                  </pic:spPr>
                </pic:pic>
              </a:graphicData>
            </a:graphic>
            <wp14:sizeRelH relativeFrom="margin">
              <wp14:pctWidth>0</wp14:pctWidth>
            </wp14:sizeRelH>
            <wp14:sizeRelV relativeFrom="margin">
              <wp14:pctHeight>0</wp14:pctHeight>
            </wp14:sizeRelV>
          </wp:anchor>
        </w:drawing>
      </w:r>
    </w:p>
    <w:p w:rsidRPr="009A3522" w:rsidR="000D6A84" w:rsidP="000D6A84" w:rsidRDefault="000D6A84" w14:paraId="7D407F5C" w14:textId="77777777">
      <w:pPr>
        <w:tabs>
          <w:tab w:val="left" w:pos="440"/>
        </w:tabs>
        <w:ind w:left="440" w:hanging="440"/>
        <w:rPr>
          <w:lang w:val="en-GB"/>
        </w:rPr>
        <w:sectPr w:rsidRPr="009A3522" w:rsidR="000D6A84" w:rsidSect="00B93683">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tbl>
      <w:tblPr>
        <w:tblW w:w="0" w:type="auto"/>
        <w:tblLayout w:type="fixed"/>
        <w:tblLook w:val="01E0" w:firstRow="1" w:lastRow="1" w:firstColumn="1" w:lastColumn="1" w:noHBand="0" w:noVBand="0"/>
      </w:tblPr>
      <w:tblGrid>
        <w:gridCol w:w="9289"/>
      </w:tblGrid>
      <w:tr w:rsidRPr="009A3522" w:rsidR="00444A98" w:rsidTr="001C6AA9" w14:paraId="3F111DF4" w14:textId="77777777">
        <w:trPr>
          <w:trHeight w:val="12758"/>
        </w:trPr>
        <w:tc>
          <w:tcPr>
            <w:tcW w:w="9289" w:type="dxa"/>
            <w:vAlign w:val="bottom"/>
          </w:tcPr>
          <w:p w:rsidR="00CB1531" w:rsidP="00CB1531" w:rsidRDefault="00CB1531" w14:paraId="10A54E49" w14:textId="7EC1CA21">
            <w:pPr>
              <w:rPr>
                <w:u w:val="single"/>
                <w:lang w:val="en-GB"/>
              </w:rPr>
            </w:pPr>
            <w:r w:rsidRPr="00CB1531">
              <w:rPr>
                <w:u w:val="single"/>
                <w:lang w:val="en-GB"/>
              </w:rPr>
              <w:lastRenderedPageBreak/>
              <w:t>Rapporteur:</w:t>
            </w:r>
          </w:p>
          <w:p w:rsidR="00CB1531" w:rsidP="00CB1531" w:rsidRDefault="00CB1531" w14:paraId="454FB24F" w14:textId="77777777">
            <w:pPr>
              <w:rPr>
                <w:u w:val="single"/>
                <w:lang w:val="en-GB"/>
              </w:rPr>
            </w:pPr>
          </w:p>
          <w:p w:rsidRPr="00F940B1" w:rsidR="00CB1531" w:rsidP="00CB1531" w:rsidRDefault="00CB1531" w14:paraId="513F7D1F" w14:textId="30B90709">
            <w:pPr>
              <w:rPr>
                <w:lang w:val="en-GB"/>
              </w:rPr>
            </w:pPr>
            <w:r w:rsidRPr="00F940B1">
              <w:rPr>
                <w:lang w:val="en-GB"/>
              </w:rPr>
              <w:t>Adam Banaszak (PL/ECR)</w:t>
            </w:r>
          </w:p>
          <w:p w:rsidRPr="009A3522" w:rsidR="00444A98" w:rsidRDefault="00CB1531" w14:paraId="523E6763" w14:textId="6B7452EA">
            <w:pPr>
              <w:rPr>
                <w:lang w:val="en-GB"/>
              </w:rPr>
            </w:pPr>
            <w:r w:rsidRPr="00F940B1">
              <w:rPr>
                <w:lang w:val="en-GB"/>
              </w:rPr>
              <w:t>Member of a Regional Assembly: Kujawsko-Pomorskie Regional Assembly</w:t>
            </w:r>
          </w:p>
        </w:tc>
      </w:tr>
    </w:tbl>
    <w:p w:rsidRPr="009A3522" w:rsidR="00F367F6" w:rsidP="00F940B1" w:rsidRDefault="00444A98" w14:paraId="7E54E71C" w14:textId="77777777">
      <w:pPr>
        <w:keepNext/>
        <w:keepLines/>
        <w:rPr>
          <w:rFonts w:ascii="Times New Roman Bold" w:hAnsi="Times New Roman Bold"/>
          <w:b/>
          <w:bCs/>
          <w:lang w:val="en-GB"/>
        </w:rPr>
      </w:pPr>
      <w:r w:rsidRPr="009A3522">
        <w:rPr>
          <w:rFonts w:ascii="Times New Roman Bold" w:hAnsi="Times New Roman Bold"/>
          <w:b/>
          <w:bCs/>
          <w:lang w:val="en-GB"/>
        </w:rPr>
        <w:br w:type="page"/>
      </w:r>
    </w:p>
    <w:p w:rsidRPr="009A3522" w:rsidR="00401875" w:rsidP="001C6AA9" w:rsidRDefault="00EB02D5" w14:paraId="49D57825" w14:textId="689DCFD2">
      <w:pPr>
        <w:keepNext/>
        <w:keepLines/>
        <w:jc w:val="center"/>
        <w:rPr>
          <w:lang w:val="en-GB"/>
        </w:rPr>
      </w:pPr>
      <w:r>
        <w:rPr>
          <w:b/>
          <w:lang w:val="en-GB"/>
        </w:rPr>
        <w:t>O</w:t>
      </w:r>
      <w:r w:rsidRPr="009A3522" w:rsidR="00444A98">
        <w:rPr>
          <w:b/>
          <w:lang w:val="en-GB"/>
        </w:rPr>
        <w:t xml:space="preserve">pinion of the </w:t>
      </w:r>
      <w:r w:rsidRPr="001560D2" w:rsidR="00EE1396">
        <w:rPr>
          <w:b/>
          <w:lang w:val="en-GB"/>
        </w:rPr>
        <w:t>European</w:t>
      </w:r>
      <w:r w:rsidRPr="001560D2" w:rsidR="00E24DCC">
        <w:rPr>
          <w:b/>
          <w:lang w:val="en-GB"/>
        </w:rPr>
        <w:t xml:space="preserve"> </w:t>
      </w:r>
      <w:r w:rsidRPr="001560D2" w:rsidR="00EE1396">
        <w:rPr>
          <w:b/>
          <w:lang w:val="en-GB"/>
        </w:rPr>
        <w:t xml:space="preserve">Committee of the Regions </w:t>
      </w:r>
      <w:r w:rsidRPr="009A3522" w:rsidR="002D4E68">
        <w:rPr>
          <w:b/>
          <w:bCs/>
          <w:lang w:val="en-GB"/>
        </w:rPr>
        <w:t xml:space="preserve">– </w:t>
      </w:r>
      <w:r w:rsidRPr="009A3522" w:rsidR="00F367F6">
        <w:rPr>
          <w:b/>
          <w:bCs/>
          <w:lang w:val="en-GB"/>
        </w:rPr>
        <w:br/>
      </w:r>
      <w:r w:rsidRPr="009A3522" w:rsidR="00401875">
        <w:rPr>
          <w:b/>
          <w:bCs/>
          <w:lang w:val="en-GB"/>
        </w:rPr>
        <w:t>The role of cities as health promoters</w:t>
      </w:r>
    </w:p>
    <w:p w:rsidRPr="009A3522" w:rsidR="00F367F6" w:rsidP="001C6AA9" w:rsidRDefault="00F367F6" w14:paraId="75292577" w14:textId="77777777">
      <w:pPr>
        <w:rPr>
          <w:lang w:val="en-GB"/>
        </w:rPr>
      </w:pPr>
    </w:p>
    <w:p w:rsidRPr="009A3522" w:rsidR="00444A98" w:rsidP="001C6AA9" w:rsidRDefault="00444A98" w14:paraId="110D6A92" w14:textId="77777777">
      <w:pPr>
        <w:numPr>
          <w:ilvl w:val="0"/>
          <w:numId w:val="13"/>
        </w:numPr>
        <w:ind w:left="567" w:hanging="567"/>
        <w:rPr>
          <w:b/>
          <w:lang w:val="en-GB"/>
        </w:rPr>
      </w:pPr>
      <w:r w:rsidRPr="009A3522">
        <w:rPr>
          <w:b/>
          <w:bCs/>
          <w:lang w:val="en-GB"/>
        </w:rPr>
        <w:t>POLICY</w:t>
      </w:r>
      <w:r w:rsidRPr="009A3522">
        <w:rPr>
          <w:b/>
          <w:lang w:val="en-GB"/>
        </w:rPr>
        <w:t xml:space="preserve"> RECOMMENDATIONS</w:t>
      </w:r>
    </w:p>
    <w:p w:rsidRPr="009A3522" w:rsidR="00444A98" w:rsidP="001C6AA9" w:rsidRDefault="00444A98" w14:paraId="4ABE1730" w14:textId="77777777">
      <w:pPr>
        <w:rPr>
          <w:lang w:val="en-GB"/>
        </w:rPr>
      </w:pPr>
    </w:p>
    <w:p w:rsidRPr="009A3522" w:rsidR="00444A98" w:rsidP="001C6AA9" w:rsidRDefault="00444A98" w14:paraId="798C7675" w14:textId="77777777">
      <w:pPr>
        <w:rPr>
          <w:lang w:val="en-GB"/>
        </w:rPr>
      </w:pPr>
      <w:r w:rsidRPr="009A3522">
        <w:rPr>
          <w:lang w:val="en-GB"/>
        </w:rPr>
        <w:t xml:space="preserve">THE </w:t>
      </w:r>
      <w:r w:rsidRPr="009A3522" w:rsidR="005C4B78">
        <w:rPr>
          <w:lang w:val="en-GB"/>
        </w:rPr>
        <w:t xml:space="preserve">EUROPEAN </w:t>
      </w:r>
      <w:r w:rsidRPr="009A3522">
        <w:rPr>
          <w:lang w:val="en-GB"/>
        </w:rPr>
        <w:t>COMMITTEE OF THE REGIONS</w:t>
      </w:r>
    </w:p>
    <w:p w:rsidRPr="009A3522" w:rsidR="00401875" w:rsidP="001C6AA9" w:rsidRDefault="00401875" w14:paraId="6742CB30" w14:textId="4B30A75C">
      <w:pPr>
        <w:rPr>
          <w:b/>
          <w:bCs/>
          <w:lang w:val="en-GB"/>
        </w:rPr>
      </w:pPr>
    </w:p>
    <w:p w:rsidRPr="009A3522" w:rsidR="001B7A7C" w:rsidP="002A0A42" w:rsidRDefault="007D15C9" w14:paraId="165E3CE5" w14:textId="49F1C7A8">
      <w:pPr>
        <w:pStyle w:val="Heading1"/>
        <w:rPr>
          <w:lang w:val="en-GB"/>
        </w:rPr>
      </w:pPr>
      <w:r w:rsidRPr="009A3522">
        <w:rPr>
          <w:lang w:val="en-GB"/>
        </w:rPr>
        <w:t xml:space="preserve">although health policy remains a primary competence of the Member States, </w:t>
      </w:r>
      <w:r w:rsidRPr="009A3522" w:rsidR="00401875">
        <w:rPr>
          <w:lang w:val="en-GB"/>
        </w:rPr>
        <w:t>praises the intention of the Trio</w:t>
      </w:r>
      <w:r w:rsidRPr="009A3522" w:rsidR="00A418F8">
        <w:rPr>
          <w:lang w:val="en-GB"/>
        </w:rPr>
        <w:t xml:space="preserve"> EU Council Presidency</w:t>
      </w:r>
      <w:r w:rsidRPr="009A3522" w:rsidR="00401875">
        <w:rPr>
          <w:lang w:val="en-GB"/>
        </w:rPr>
        <w:t xml:space="preserve"> (Spain, Belgium and Hungary) to focus </w:t>
      </w:r>
      <w:r w:rsidRPr="009A3522" w:rsidR="00A418F8">
        <w:rPr>
          <w:lang w:val="en-GB"/>
        </w:rPr>
        <w:t xml:space="preserve">during </w:t>
      </w:r>
      <w:r w:rsidRPr="009A3522" w:rsidR="00401875">
        <w:rPr>
          <w:lang w:val="en-GB"/>
        </w:rPr>
        <w:t xml:space="preserve">their 18 months on strengthening the EU Health Union and the resilience of health systems that are accessible to all, building preparedness for future health emergencies and promoting </w:t>
      </w:r>
      <w:r w:rsidRPr="009A3522" w:rsidR="00776CF0">
        <w:rPr>
          <w:lang w:val="en-GB"/>
        </w:rPr>
        <w:t xml:space="preserve">equity in </w:t>
      </w:r>
      <w:r w:rsidRPr="009A3522" w:rsidR="00401875">
        <w:rPr>
          <w:lang w:val="en-GB"/>
        </w:rPr>
        <w:t>health and healthy lifestyles;</w:t>
      </w:r>
    </w:p>
    <w:p w:rsidRPr="009A3522" w:rsidR="00401875" w:rsidP="001C6AA9" w:rsidRDefault="00401875" w14:paraId="0879CC61" w14:textId="1ACEA273">
      <w:pPr>
        <w:pStyle w:val="ListParagraph"/>
        <w:ind w:left="426" w:hanging="426"/>
        <w:contextualSpacing w:val="0"/>
        <w:rPr>
          <w:lang w:val="en-GB"/>
        </w:rPr>
      </w:pPr>
    </w:p>
    <w:p w:rsidRPr="009A3522" w:rsidR="00401875" w:rsidP="002A0A42" w:rsidRDefault="00401875" w14:paraId="43A253D8" w14:textId="19E7FF8D">
      <w:pPr>
        <w:pStyle w:val="Heading1"/>
        <w:rPr>
          <w:lang w:val="en-GB"/>
        </w:rPr>
      </w:pPr>
      <w:r w:rsidRPr="009A3522">
        <w:rPr>
          <w:lang w:val="en-GB"/>
        </w:rPr>
        <w:t xml:space="preserve">stands ready to support the Council in this </w:t>
      </w:r>
      <w:r w:rsidRPr="009A3522" w:rsidR="00A06CB8">
        <w:rPr>
          <w:lang w:val="en-GB"/>
        </w:rPr>
        <w:t>endeavour</w:t>
      </w:r>
      <w:r w:rsidRPr="009A3522">
        <w:rPr>
          <w:lang w:val="en-GB"/>
        </w:rPr>
        <w:t xml:space="preserve"> by sharing local and regional policy and examples of </w:t>
      </w:r>
      <w:r w:rsidRPr="009A3522" w:rsidR="008E6066">
        <w:rPr>
          <w:lang w:val="en-GB"/>
        </w:rPr>
        <w:t xml:space="preserve">practices in </w:t>
      </w:r>
      <w:r w:rsidRPr="009A3522">
        <w:rPr>
          <w:lang w:val="en-GB"/>
        </w:rPr>
        <w:t>health promotion across policy interventions; reiterates its commitment to building resilien</w:t>
      </w:r>
      <w:r w:rsidRPr="009A3522" w:rsidR="00A418F8">
        <w:rPr>
          <w:lang w:val="en-GB"/>
        </w:rPr>
        <w:t>t</w:t>
      </w:r>
      <w:r w:rsidRPr="009A3522">
        <w:rPr>
          <w:lang w:val="en-GB"/>
        </w:rPr>
        <w:t xml:space="preserve"> communities as one of the CoR</w:t>
      </w:r>
      <w:r w:rsidRPr="009A3522" w:rsidR="008E6066">
        <w:rPr>
          <w:lang w:val="en-GB"/>
        </w:rPr>
        <w:t>'s</w:t>
      </w:r>
      <w:r w:rsidRPr="009A3522">
        <w:rPr>
          <w:lang w:val="en-GB"/>
        </w:rPr>
        <w:t xml:space="preserve"> multiannual priorities</w:t>
      </w:r>
      <w:r w:rsidRPr="001560D2" w:rsidR="00776CF0">
        <w:rPr>
          <w:bCs/>
          <w:iCs/>
          <w:lang w:val="en-GB"/>
        </w:rPr>
        <w:t>, which will also contribute to the 2030 Agenda and to achieving the global sustainable development goals</w:t>
      </w:r>
      <w:r w:rsidRPr="009A3522">
        <w:rPr>
          <w:lang w:val="en-GB"/>
        </w:rPr>
        <w:t>;</w:t>
      </w:r>
    </w:p>
    <w:p w:rsidRPr="009A3522" w:rsidR="00401875" w:rsidP="001C6AA9" w:rsidRDefault="00401875" w14:paraId="421EE498" w14:textId="77777777">
      <w:pPr>
        <w:pStyle w:val="ListParagraph"/>
        <w:ind w:left="426" w:hanging="426"/>
        <w:rPr>
          <w:lang w:val="en-GB"/>
        </w:rPr>
      </w:pPr>
    </w:p>
    <w:p w:rsidRPr="009A3522" w:rsidR="00401875" w:rsidP="002A0A42" w:rsidRDefault="00401875" w14:paraId="45775E8F" w14:textId="6318AB96">
      <w:pPr>
        <w:pStyle w:val="Heading1"/>
        <w:rPr>
          <w:lang w:val="en-GB"/>
        </w:rPr>
      </w:pPr>
      <w:r w:rsidRPr="009A3522">
        <w:rPr>
          <w:lang w:val="en-GB"/>
        </w:rPr>
        <w:t>support</w:t>
      </w:r>
      <w:r w:rsidRPr="009A3522" w:rsidR="00A418F8">
        <w:rPr>
          <w:lang w:val="en-GB"/>
        </w:rPr>
        <w:t>s</w:t>
      </w:r>
      <w:r w:rsidRPr="009A3522">
        <w:rPr>
          <w:lang w:val="en-GB"/>
        </w:rPr>
        <w:t xml:space="preserve"> </w:t>
      </w:r>
      <w:r w:rsidRPr="009A3522" w:rsidR="00A418F8">
        <w:rPr>
          <w:lang w:val="en-GB"/>
        </w:rPr>
        <w:t xml:space="preserve">the </w:t>
      </w:r>
      <w:r w:rsidRPr="009A3522">
        <w:rPr>
          <w:lang w:val="en-GB"/>
        </w:rPr>
        <w:t>"health in all policies" approach</w:t>
      </w:r>
      <w:r w:rsidRPr="009A3522" w:rsidR="00A418F8">
        <w:rPr>
          <w:lang w:val="en-GB"/>
        </w:rPr>
        <w:t>, first introduced under the 2006 Finnish Presidency,</w:t>
      </w:r>
      <w:r w:rsidRPr="009A3522">
        <w:rPr>
          <w:lang w:val="en-GB"/>
        </w:rPr>
        <w:t xml:space="preserve"> </w:t>
      </w:r>
      <w:r w:rsidRPr="009A3522" w:rsidR="00A418F8">
        <w:rPr>
          <w:lang w:val="en-GB"/>
        </w:rPr>
        <w:t xml:space="preserve">which </w:t>
      </w:r>
      <w:r w:rsidRPr="009A3522">
        <w:rPr>
          <w:lang w:val="en-GB"/>
        </w:rPr>
        <w:t xml:space="preserve">puts health-related rights and obligations at the </w:t>
      </w:r>
      <w:r w:rsidRPr="009A3522" w:rsidR="00CF6D30">
        <w:rPr>
          <w:lang w:val="en-GB"/>
        </w:rPr>
        <w:t>centre</w:t>
      </w:r>
      <w:r w:rsidRPr="009A3522">
        <w:rPr>
          <w:lang w:val="en-GB"/>
        </w:rPr>
        <w:t xml:space="preserve"> of policy making; considers health to be dependent on social, environmental</w:t>
      </w:r>
      <w:r w:rsidR="000F67B3">
        <w:rPr>
          <w:lang w:val="en-GB"/>
        </w:rPr>
        <w:t>,</w:t>
      </w:r>
      <w:r w:rsidRPr="009A3522">
        <w:rPr>
          <w:lang w:val="en-GB"/>
        </w:rPr>
        <w:t xml:space="preserve"> economic </w:t>
      </w:r>
      <w:r w:rsidRPr="00EE0C97" w:rsidR="00EE0C97">
        <w:rPr>
          <w:lang w:val="en-GB"/>
        </w:rPr>
        <w:t xml:space="preserve">and commercial </w:t>
      </w:r>
      <w:r w:rsidRPr="009A3522">
        <w:rPr>
          <w:lang w:val="en-GB"/>
        </w:rPr>
        <w:t xml:space="preserve">factors and </w:t>
      </w:r>
      <w:r w:rsidRPr="009A3522" w:rsidR="00A418F8">
        <w:rPr>
          <w:lang w:val="en-GB"/>
        </w:rPr>
        <w:t xml:space="preserve">therefore </w:t>
      </w:r>
      <w:r w:rsidRPr="009A3522" w:rsidR="008E6066">
        <w:rPr>
          <w:lang w:val="en-GB"/>
        </w:rPr>
        <w:t xml:space="preserve">it </w:t>
      </w:r>
      <w:r w:rsidRPr="009A3522" w:rsidR="00A418F8">
        <w:rPr>
          <w:lang w:val="en-GB"/>
        </w:rPr>
        <w:t>should be reflected</w:t>
      </w:r>
      <w:r w:rsidRPr="009A3522">
        <w:rPr>
          <w:lang w:val="en-GB"/>
        </w:rPr>
        <w:t xml:space="preserve"> in a broad range of related policy areas and at all levels of governance</w:t>
      </w:r>
      <w:r w:rsidRPr="009A3522" w:rsidR="00776CF0">
        <w:rPr>
          <w:lang w:val="en-GB"/>
        </w:rPr>
        <w:t xml:space="preserve">. In order to achieve good and equitable health in the population, it is essential to take </w:t>
      </w:r>
      <w:r w:rsidRPr="00CE7F07" w:rsidR="00CE7F07">
        <w:rPr>
          <w:lang w:val="en-GB"/>
        </w:rPr>
        <w:t xml:space="preserve">health-related matters </w:t>
      </w:r>
      <w:r w:rsidRPr="009A3522" w:rsidR="00776CF0">
        <w:rPr>
          <w:lang w:val="en-GB"/>
        </w:rPr>
        <w:t>systematically into account in all policy areas</w:t>
      </w:r>
      <w:r w:rsidRPr="009A3522">
        <w:rPr>
          <w:lang w:val="en-GB"/>
        </w:rPr>
        <w:t>;</w:t>
      </w:r>
    </w:p>
    <w:p w:rsidRPr="009A3522" w:rsidR="00401875" w:rsidP="001C6AA9" w:rsidRDefault="00401875" w14:paraId="15255601" w14:textId="77777777">
      <w:pPr>
        <w:pStyle w:val="ListParagraph"/>
        <w:ind w:left="426" w:hanging="426"/>
        <w:rPr>
          <w:lang w:val="en-GB"/>
        </w:rPr>
      </w:pPr>
    </w:p>
    <w:p w:rsidR="00401875" w:rsidP="002A0A42" w:rsidRDefault="00401875" w14:paraId="0F736CAB" w14:textId="504EE6AD">
      <w:pPr>
        <w:pStyle w:val="Heading1"/>
        <w:rPr>
          <w:lang w:val="en-GB"/>
        </w:rPr>
      </w:pPr>
      <w:r w:rsidRPr="009A3522">
        <w:rPr>
          <w:lang w:val="en-GB"/>
        </w:rPr>
        <w:t>calls on all elected representatives to include health considerations in their policy-making processes and to prioriti</w:t>
      </w:r>
      <w:r w:rsidRPr="009A3522" w:rsidR="00A418F8">
        <w:rPr>
          <w:lang w:val="en-GB"/>
        </w:rPr>
        <w:t>s</w:t>
      </w:r>
      <w:r w:rsidRPr="009A3522">
        <w:rPr>
          <w:lang w:val="en-GB"/>
        </w:rPr>
        <w:t xml:space="preserve">e health promotion and healthy living when deciding on </w:t>
      </w:r>
      <w:r w:rsidRPr="009A3522" w:rsidR="00A418F8">
        <w:rPr>
          <w:lang w:val="en-GB"/>
        </w:rPr>
        <w:t xml:space="preserve">urban </w:t>
      </w:r>
      <w:r w:rsidRPr="009A3522">
        <w:rPr>
          <w:lang w:val="en-GB"/>
        </w:rPr>
        <w:t>planning and the built environment, parks and recreation facilities, mobility and transport, early childhood and education, long</w:t>
      </w:r>
      <w:r w:rsidRPr="009A3522" w:rsidR="00A418F8">
        <w:rPr>
          <w:lang w:val="en-GB"/>
        </w:rPr>
        <w:t>-</w:t>
      </w:r>
      <w:r w:rsidRPr="009A3522">
        <w:rPr>
          <w:lang w:val="en-GB"/>
        </w:rPr>
        <w:t xml:space="preserve">term care and many </w:t>
      </w:r>
      <w:r w:rsidRPr="009A3522" w:rsidR="00A418F8">
        <w:rPr>
          <w:lang w:val="en-GB"/>
        </w:rPr>
        <w:t>other sectors</w:t>
      </w:r>
      <w:r w:rsidRPr="009A3522" w:rsidR="00776CF0">
        <w:rPr>
          <w:lang w:val="en-GB"/>
        </w:rPr>
        <w:t xml:space="preserve">. A living environment that causes poor health entails significant costs for society, both in </w:t>
      </w:r>
      <w:r w:rsidR="00851AB8">
        <w:rPr>
          <w:lang w:val="en-GB"/>
        </w:rPr>
        <w:t>the impact</w:t>
      </w:r>
      <w:r w:rsidR="0062072B">
        <w:rPr>
          <w:lang w:val="en-GB"/>
        </w:rPr>
        <w:t xml:space="preserve"> on health</w:t>
      </w:r>
      <w:r w:rsidRPr="009A3522" w:rsidR="00776CF0">
        <w:rPr>
          <w:lang w:val="en-GB"/>
        </w:rPr>
        <w:t xml:space="preserve"> and </w:t>
      </w:r>
      <w:r w:rsidR="0062072B">
        <w:rPr>
          <w:lang w:val="en-GB"/>
        </w:rPr>
        <w:t>the burden</w:t>
      </w:r>
      <w:r w:rsidRPr="009A3522" w:rsidR="00776CF0">
        <w:rPr>
          <w:lang w:val="en-GB"/>
        </w:rPr>
        <w:t xml:space="preserve"> </w:t>
      </w:r>
      <w:r w:rsidR="0062072B">
        <w:rPr>
          <w:lang w:val="en-GB"/>
        </w:rPr>
        <w:t xml:space="preserve">of </w:t>
      </w:r>
      <w:r w:rsidRPr="0062072B" w:rsidR="0062072B">
        <w:rPr>
          <w:lang w:val="en-GB"/>
        </w:rPr>
        <w:t xml:space="preserve">disease and suffering, and in terms of </w:t>
      </w:r>
      <w:r w:rsidRPr="009A3522" w:rsidR="00776CF0">
        <w:rPr>
          <w:lang w:val="en-GB"/>
        </w:rPr>
        <w:t>loss of labour, while conversely, a good living environment can create the conditions for good and equitable health, and bring benefits to society and contribute to social values. The good health of the population can be a strategy for addressing other challenges such as financing welfare, the supply of skills, and an ageing population</w:t>
      </w:r>
      <w:r w:rsidRPr="009A3522">
        <w:rPr>
          <w:lang w:val="en-GB"/>
        </w:rPr>
        <w:t>;</w:t>
      </w:r>
    </w:p>
    <w:p w:rsidR="00BB7CA3" w:rsidP="00BB7CA3" w:rsidRDefault="00BB7CA3" w14:paraId="2C4135CE" w14:textId="5CB9E55E">
      <w:pPr>
        <w:rPr>
          <w:lang w:val="en-GB"/>
        </w:rPr>
      </w:pPr>
    </w:p>
    <w:p w:rsidRPr="00BB7CA3" w:rsidR="00BB7CA3" w:rsidRDefault="00BB7CA3" w14:paraId="62A13691" w14:textId="081A9817">
      <w:pPr>
        <w:pStyle w:val="Heading1"/>
        <w:rPr>
          <w:lang w:val="en-GB"/>
        </w:rPr>
      </w:pPr>
      <w:r w:rsidRPr="00BB7CA3">
        <w:rPr>
          <w:lang w:val="en-GB"/>
        </w:rPr>
        <w:t>recommends that the various aspects and approaches of the New European Bauhaus (NEB) initiative be taken into account in health-enhancing urban design, since the NEB is a fundamental concept aimed at creating healthy, regenerative living environments under the Green Deal;</w:t>
      </w:r>
    </w:p>
    <w:p w:rsidRPr="009A3522" w:rsidR="00401875" w:rsidP="001C6AA9" w:rsidRDefault="00401875" w14:paraId="2D12D6D0" w14:textId="77777777">
      <w:pPr>
        <w:pStyle w:val="ListParagraph"/>
        <w:ind w:left="426" w:hanging="426"/>
        <w:rPr>
          <w:lang w:val="en-GB"/>
        </w:rPr>
      </w:pPr>
    </w:p>
    <w:p w:rsidRPr="009A3522" w:rsidR="00401875" w:rsidP="002A0A42" w:rsidRDefault="00401875" w14:paraId="5A1C91FE" w14:textId="7D399290">
      <w:pPr>
        <w:pStyle w:val="Heading1"/>
        <w:rPr>
          <w:lang w:val="en-GB"/>
        </w:rPr>
      </w:pPr>
      <w:r w:rsidRPr="009A3522">
        <w:rPr>
          <w:lang w:val="en-GB"/>
        </w:rPr>
        <w:t xml:space="preserve">calls on the European Commission to commission a new edition of the </w:t>
      </w:r>
      <w:r w:rsidRPr="009A3522" w:rsidR="00F923F6">
        <w:rPr>
          <w:lang w:val="en-GB"/>
        </w:rPr>
        <w:t>out</w:t>
      </w:r>
      <w:r w:rsidRPr="009A3522" w:rsidR="00FB6171">
        <w:rPr>
          <w:lang w:val="en-GB"/>
        </w:rPr>
        <w:t>dated</w:t>
      </w:r>
      <w:r w:rsidRPr="009A3522">
        <w:rPr>
          <w:lang w:val="en-GB"/>
        </w:rPr>
        <w:t xml:space="preserve"> 2013 report on social determinants and health inequalities in the EU; </w:t>
      </w:r>
      <w:r w:rsidRPr="009A3522" w:rsidR="00A511DF">
        <w:rPr>
          <w:lang w:val="en-GB"/>
        </w:rPr>
        <w:t>in the last</w:t>
      </w:r>
      <w:r w:rsidRPr="009A3522">
        <w:rPr>
          <w:lang w:val="en-GB"/>
        </w:rPr>
        <w:t xml:space="preserve"> decade </w:t>
      </w:r>
      <w:r w:rsidRPr="009A3522" w:rsidR="00A511DF">
        <w:rPr>
          <w:lang w:val="en-GB"/>
        </w:rPr>
        <w:t>we have witnessed</w:t>
      </w:r>
      <w:r w:rsidRPr="009A3522">
        <w:rPr>
          <w:lang w:val="en-GB"/>
        </w:rPr>
        <w:t xml:space="preserve"> </w:t>
      </w:r>
      <w:r w:rsidRPr="009A3522" w:rsidR="00A511DF">
        <w:rPr>
          <w:lang w:val="en-GB"/>
        </w:rPr>
        <w:t xml:space="preserve">a </w:t>
      </w:r>
      <w:r w:rsidRPr="009A3522">
        <w:rPr>
          <w:lang w:val="en-GB"/>
        </w:rPr>
        <w:t>major health crisis coupled with</w:t>
      </w:r>
      <w:r w:rsidRPr="009A3522" w:rsidR="00A511DF">
        <w:rPr>
          <w:lang w:val="en-GB"/>
        </w:rPr>
        <w:t xml:space="preserve"> an</w:t>
      </w:r>
      <w:r w:rsidRPr="009A3522">
        <w:rPr>
          <w:lang w:val="en-GB"/>
        </w:rPr>
        <w:t xml:space="preserve"> energy</w:t>
      </w:r>
      <w:r w:rsidRPr="009A3522" w:rsidR="00776CF0">
        <w:rPr>
          <w:lang w:val="en-GB"/>
        </w:rPr>
        <w:t>, housing</w:t>
      </w:r>
      <w:r w:rsidRPr="009A3522">
        <w:rPr>
          <w:lang w:val="en-GB"/>
        </w:rPr>
        <w:t xml:space="preserve"> and food cris</w:t>
      </w:r>
      <w:r w:rsidRPr="009A3522" w:rsidR="00F923F6">
        <w:rPr>
          <w:lang w:val="en-GB"/>
        </w:rPr>
        <w:t>i</w:t>
      </w:r>
      <w:r w:rsidRPr="009A3522">
        <w:rPr>
          <w:lang w:val="en-GB"/>
        </w:rPr>
        <w:t xml:space="preserve">s </w:t>
      </w:r>
      <w:r w:rsidRPr="009A3522" w:rsidR="00D166BB">
        <w:rPr>
          <w:lang w:val="en-GB"/>
        </w:rPr>
        <w:t>and an ongoing</w:t>
      </w:r>
      <w:r w:rsidRPr="009A3522">
        <w:rPr>
          <w:lang w:val="en-GB"/>
        </w:rPr>
        <w:t xml:space="preserve"> war</w:t>
      </w:r>
      <w:r w:rsidRPr="009A3522" w:rsidR="00D166BB">
        <w:rPr>
          <w:lang w:val="en-GB"/>
        </w:rPr>
        <w:t xml:space="preserve"> that</w:t>
      </w:r>
      <w:r w:rsidRPr="009A3522">
        <w:rPr>
          <w:lang w:val="en-GB"/>
        </w:rPr>
        <w:t xml:space="preserve"> is raging in the European </w:t>
      </w:r>
      <w:r w:rsidRPr="009A3522" w:rsidR="00A06CB8">
        <w:rPr>
          <w:lang w:val="en-GB"/>
        </w:rPr>
        <w:t>neighbourhood</w:t>
      </w:r>
      <w:r w:rsidRPr="009A3522" w:rsidR="00A511DF">
        <w:rPr>
          <w:lang w:val="en-GB"/>
        </w:rPr>
        <w:t>.</w:t>
      </w:r>
      <w:r w:rsidRPr="009A3522">
        <w:rPr>
          <w:lang w:val="en-GB"/>
        </w:rPr>
        <w:t xml:space="preserve"> </w:t>
      </w:r>
      <w:r w:rsidRPr="009A3522" w:rsidR="00A511DF">
        <w:rPr>
          <w:lang w:val="en-GB"/>
        </w:rPr>
        <w:t xml:space="preserve">All </w:t>
      </w:r>
      <w:r w:rsidRPr="009A3522">
        <w:rPr>
          <w:lang w:val="en-GB"/>
        </w:rPr>
        <w:t>th</w:t>
      </w:r>
      <w:r w:rsidRPr="009A3522" w:rsidR="00A511DF">
        <w:rPr>
          <w:lang w:val="en-GB"/>
        </w:rPr>
        <w:t>ese factors</w:t>
      </w:r>
      <w:r w:rsidRPr="009A3522">
        <w:rPr>
          <w:lang w:val="en-GB"/>
        </w:rPr>
        <w:t xml:space="preserve"> call for a new analysis of the health situation of European citizens;</w:t>
      </w:r>
    </w:p>
    <w:p w:rsidRPr="009A3522" w:rsidR="00401875" w:rsidP="001C6AA9" w:rsidRDefault="00401875" w14:paraId="751980B2" w14:textId="77777777">
      <w:pPr>
        <w:pStyle w:val="ListParagraph"/>
        <w:ind w:left="426" w:hanging="426"/>
        <w:rPr>
          <w:lang w:val="en-GB"/>
        </w:rPr>
      </w:pPr>
    </w:p>
    <w:p w:rsidRPr="009A3522" w:rsidR="00401875" w:rsidP="002A0A42" w:rsidRDefault="00401875" w14:paraId="1519AE1E" w14:textId="6F9B6F7F">
      <w:pPr>
        <w:pStyle w:val="Heading1"/>
        <w:rPr>
          <w:lang w:val="en-GB"/>
        </w:rPr>
      </w:pPr>
      <w:r w:rsidRPr="009A3522">
        <w:rPr>
          <w:lang w:val="en-GB"/>
        </w:rPr>
        <w:t xml:space="preserve">calls on the European Parliament, ahead of the </w:t>
      </w:r>
      <w:r w:rsidRPr="009A3522" w:rsidR="00A511DF">
        <w:rPr>
          <w:lang w:val="en-GB"/>
        </w:rPr>
        <w:t xml:space="preserve">2024 </w:t>
      </w:r>
      <w:r w:rsidRPr="009A3522">
        <w:rPr>
          <w:lang w:val="en-GB"/>
        </w:rPr>
        <w:t>elections, to scale up action to promote public</w:t>
      </w:r>
      <w:r w:rsidR="005C1067">
        <w:rPr>
          <w:lang w:val="en-GB"/>
        </w:rPr>
        <w:t xml:space="preserve"> social,</w:t>
      </w:r>
      <w:r w:rsidRPr="009A3522">
        <w:rPr>
          <w:lang w:val="en-GB"/>
        </w:rPr>
        <w:t xml:space="preserve"> physical and mental health, prevention and equity and to retain health as one of the key priorities for the next mandate;</w:t>
      </w:r>
    </w:p>
    <w:p w:rsidRPr="009A3522" w:rsidR="00401875" w:rsidP="001C6AA9" w:rsidRDefault="00401875" w14:paraId="1F072505" w14:textId="77777777">
      <w:pPr>
        <w:pStyle w:val="ListParagraph"/>
        <w:ind w:left="426" w:hanging="426"/>
        <w:rPr>
          <w:lang w:val="en-GB"/>
        </w:rPr>
      </w:pPr>
    </w:p>
    <w:p w:rsidRPr="009A3522" w:rsidR="00401875" w:rsidP="002A0A42" w:rsidRDefault="00401875" w14:paraId="15397D82" w14:textId="2D18AB65">
      <w:pPr>
        <w:pStyle w:val="Heading1"/>
        <w:rPr>
          <w:lang w:val="en-GB"/>
        </w:rPr>
      </w:pPr>
      <w:r w:rsidRPr="009A3522">
        <w:rPr>
          <w:lang w:val="en-GB"/>
        </w:rPr>
        <w:t>calls on the Member States and the EU institutions to prioriti</w:t>
      </w:r>
      <w:r w:rsidRPr="009A3522" w:rsidR="00A511DF">
        <w:rPr>
          <w:lang w:val="en-GB"/>
        </w:rPr>
        <w:t>s</w:t>
      </w:r>
      <w:r w:rsidRPr="009A3522">
        <w:rPr>
          <w:lang w:val="en-GB"/>
        </w:rPr>
        <w:t>e health promotion</w:t>
      </w:r>
      <w:r w:rsidRPr="009A3522" w:rsidR="007D433F">
        <w:rPr>
          <w:lang w:val="en-GB"/>
        </w:rPr>
        <w:t>, protection</w:t>
      </w:r>
      <w:r w:rsidRPr="009A3522">
        <w:rPr>
          <w:lang w:val="en-GB"/>
        </w:rPr>
        <w:t xml:space="preserve"> and prevention in the discussion on the midterm review of the MFF and the EU4Health program</w:t>
      </w:r>
      <w:r w:rsidRPr="009A3522" w:rsidR="00F923F6">
        <w:rPr>
          <w:lang w:val="en-GB"/>
        </w:rPr>
        <w:t>me</w:t>
      </w:r>
      <w:r w:rsidRPr="009A3522">
        <w:rPr>
          <w:lang w:val="en-GB"/>
        </w:rPr>
        <w:t>;</w:t>
      </w:r>
    </w:p>
    <w:p w:rsidRPr="009A3522" w:rsidR="00401875" w:rsidP="001C6AA9" w:rsidRDefault="00401875" w14:paraId="78D8CB50" w14:textId="77777777">
      <w:pPr>
        <w:pStyle w:val="ListParagraph"/>
        <w:ind w:left="426" w:hanging="426"/>
        <w:rPr>
          <w:lang w:val="en-GB"/>
        </w:rPr>
      </w:pPr>
    </w:p>
    <w:p w:rsidRPr="009A3522" w:rsidR="001B7A7C" w:rsidP="002A0A42" w:rsidRDefault="00401875" w14:paraId="18485CF3" w14:textId="717B9614">
      <w:pPr>
        <w:pStyle w:val="Heading1"/>
        <w:rPr>
          <w:lang w:val="en-GB"/>
        </w:rPr>
      </w:pPr>
      <w:r w:rsidRPr="009A3522">
        <w:rPr>
          <w:lang w:val="en-GB"/>
        </w:rPr>
        <w:t xml:space="preserve">calls </w:t>
      </w:r>
      <w:r w:rsidRPr="009A3522" w:rsidR="00F923F6">
        <w:rPr>
          <w:lang w:val="en-GB"/>
        </w:rPr>
        <w:t xml:space="preserve">for </w:t>
      </w:r>
      <w:r w:rsidRPr="009A3522">
        <w:rPr>
          <w:lang w:val="en-GB"/>
        </w:rPr>
        <w:t>support</w:t>
      </w:r>
      <w:r w:rsidRPr="009A3522" w:rsidR="00F923F6">
        <w:rPr>
          <w:lang w:val="en-GB"/>
        </w:rPr>
        <w:t xml:space="preserve"> of</w:t>
      </w:r>
      <w:r w:rsidRPr="009A3522">
        <w:rPr>
          <w:lang w:val="en-GB"/>
        </w:rPr>
        <w:t xml:space="preserve"> </w:t>
      </w:r>
      <w:r w:rsidRPr="009A3522" w:rsidR="007D433F">
        <w:rPr>
          <w:lang w:val="en-GB"/>
        </w:rPr>
        <w:t xml:space="preserve">improved </w:t>
      </w:r>
      <w:r w:rsidRPr="009A3522">
        <w:rPr>
          <w:lang w:val="en-GB"/>
        </w:rPr>
        <w:t>air quality transition by providing new better targeted EU funding opportunities while simplifying and increasing access to existing funding opportunities, in particular under ERDF, LIFE and EAFRD</w:t>
      </w:r>
      <w:r w:rsidRPr="009A3522" w:rsidR="00A511DF">
        <w:rPr>
          <w:lang w:val="en-GB"/>
        </w:rPr>
        <w:t>;</w:t>
      </w:r>
    </w:p>
    <w:p w:rsidRPr="009A3522" w:rsidR="00401875" w:rsidP="00360894" w:rsidRDefault="00401875" w14:paraId="26A3B2F4" w14:textId="350D7FB6">
      <w:pPr>
        <w:keepNext/>
        <w:keepLines/>
        <w:rPr>
          <w:lang w:val="en-GB"/>
        </w:rPr>
      </w:pPr>
    </w:p>
    <w:p w:rsidRPr="009A3522" w:rsidR="001B7A7C" w:rsidP="001560D2" w:rsidRDefault="00A511DF" w14:paraId="528D6F3B" w14:textId="5BA2AD63">
      <w:pPr>
        <w:pStyle w:val="Heading1"/>
        <w:rPr>
          <w:lang w:val="en-GB"/>
        </w:rPr>
      </w:pPr>
      <w:r w:rsidRPr="009A3522">
        <w:rPr>
          <w:lang w:val="en-GB"/>
        </w:rPr>
        <w:t>w</w:t>
      </w:r>
      <w:r w:rsidRPr="009A3522" w:rsidR="00401875">
        <w:rPr>
          <w:lang w:val="en-GB"/>
        </w:rPr>
        <w:t>elcomes the referral from the Spanish Presidency of the Council of European Union and shares the conviction of the Presidency that local government</w:t>
      </w:r>
      <w:r w:rsidRPr="009A3522" w:rsidR="00DA7BD7">
        <w:rPr>
          <w:lang w:val="en-GB"/>
        </w:rPr>
        <w:t>s</w:t>
      </w:r>
      <w:r w:rsidRPr="009A3522" w:rsidR="00401875">
        <w:rPr>
          <w:lang w:val="en-GB"/>
        </w:rPr>
        <w:t xml:space="preserve"> across the EU have a key role to play in </w:t>
      </w:r>
      <w:r w:rsidRPr="009A3522" w:rsidR="007D433F">
        <w:rPr>
          <w:lang w:val="en-GB"/>
        </w:rPr>
        <w:t xml:space="preserve">reducing health disparities between different groups of women and men and in advancing people's circumstances and opportunities for health, preventing poor health, </w:t>
      </w:r>
      <w:r w:rsidRPr="009A3522" w:rsidR="00401875">
        <w:rPr>
          <w:lang w:val="en-GB"/>
        </w:rPr>
        <w:t>supporting healthy lifestyles</w:t>
      </w:r>
      <w:r w:rsidRPr="009A3522" w:rsidR="007D433F">
        <w:rPr>
          <w:lang w:val="en-GB"/>
        </w:rPr>
        <w:t xml:space="preserve"> and</w:t>
      </w:r>
      <w:r w:rsidRPr="009A3522" w:rsidR="00401875">
        <w:rPr>
          <w:lang w:val="en-GB"/>
        </w:rPr>
        <w:t xml:space="preserve"> protecting people's health; </w:t>
      </w:r>
    </w:p>
    <w:p w:rsidRPr="009A3522" w:rsidR="00401875" w:rsidP="001C6AA9" w:rsidRDefault="00401875" w14:paraId="71150FC2" w14:textId="61E932EB">
      <w:pPr>
        <w:pStyle w:val="Heading1"/>
        <w:numPr>
          <w:ilvl w:val="0"/>
          <w:numId w:val="0"/>
        </w:numPr>
        <w:rPr>
          <w:lang w:val="en-GB"/>
        </w:rPr>
      </w:pPr>
    </w:p>
    <w:p w:rsidR="001B7A7C" w:rsidP="00360894" w:rsidRDefault="00A511DF" w14:paraId="4F3B740B" w14:textId="6396365E">
      <w:pPr>
        <w:pStyle w:val="Heading1"/>
        <w:rPr>
          <w:lang w:val="en-GB"/>
        </w:rPr>
      </w:pPr>
      <w:r w:rsidRPr="009A3522">
        <w:rPr>
          <w:lang w:val="en-GB"/>
        </w:rPr>
        <w:t>n</w:t>
      </w:r>
      <w:r w:rsidRPr="009A3522" w:rsidR="00401875">
        <w:rPr>
          <w:lang w:val="en-GB"/>
        </w:rPr>
        <w:t>otes that since 2007, more people worldwide have been living in cities than in the countryside; in the EU it is 75 percent of the population, with particularly high shares recorded in Spain (83.3%), the Netherlands (86.5%) and Malta (96.8%)</w:t>
      </w:r>
      <w:r w:rsidRPr="009A3522" w:rsidR="00DA7BD7">
        <w:rPr>
          <w:lang w:val="en-GB"/>
        </w:rPr>
        <w:t>;</w:t>
      </w:r>
      <w:r w:rsidRPr="009A3522" w:rsidR="00401875">
        <w:rPr>
          <w:lang w:val="en-GB"/>
        </w:rPr>
        <w:t xml:space="preserve"> however, </w:t>
      </w:r>
      <w:r w:rsidRPr="009A3522" w:rsidR="00EF08E1">
        <w:rPr>
          <w:lang w:val="en-GB"/>
        </w:rPr>
        <w:t xml:space="preserve">notes </w:t>
      </w:r>
      <w:r w:rsidRPr="009A3522" w:rsidR="00401875">
        <w:rPr>
          <w:lang w:val="en-GB"/>
        </w:rPr>
        <w:t>that the functional areas of cities usually</w:t>
      </w:r>
      <w:r w:rsidRPr="009A3522" w:rsidR="00DA7BD7">
        <w:rPr>
          <w:lang w:val="en-GB"/>
        </w:rPr>
        <w:t xml:space="preserve"> include</w:t>
      </w:r>
      <w:r w:rsidRPr="009A3522" w:rsidR="00401875">
        <w:rPr>
          <w:lang w:val="en-GB"/>
        </w:rPr>
        <w:t xml:space="preserve"> suburban and agricultural areas;</w:t>
      </w:r>
    </w:p>
    <w:p w:rsidR="0042014D" w:rsidP="0042014D" w:rsidRDefault="0042014D" w14:paraId="14B09273" w14:textId="54EEFCEC">
      <w:pPr>
        <w:rPr>
          <w:lang w:val="en-GB"/>
        </w:rPr>
      </w:pPr>
    </w:p>
    <w:p w:rsidRPr="0042014D" w:rsidR="0042014D" w:rsidRDefault="0042014D" w14:paraId="6F69DDF2" w14:textId="57D6FCFA">
      <w:pPr>
        <w:pStyle w:val="Heading1"/>
        <w:rPr>
          <w:lang w:val="en-GB"/>
        </w:rPr>
      </w:pPr>
      <w:r w:rsidRPr="0042014D">
        <w:rPr>
          <w:lang w:val="en-GB"/>
        </w:rPr>
        <w:t>calls on the European Commission and the Council to promote the use of social media by Member States' health systems as a means of promoting health, combating fake news and disinformation, encouraging user participation in health and promoting preventive and other health-related programmes</w:t>
      </w:r>
      <w:r>
        <w:rPr>
          <w:lang w:val="en-GB"/>
        </w:rPr>
        <w:t>;</w:t>
      </w:r>
    </w:p>
    <w:p w:rsidRPr="009A3522" w:rsidR="00401875" w:rsidP="001C6AA9" w:rsidRDefault="00401875" w14:paraId="500A6C81" w14:textId="662EE6FE">
      <w:pPr>
        <w:pStyle w:val="Heading1"/>
        <w:numPr>
          <w:ilvl w:val="0"/>
          <w:numId w:val="0"/>
        </w:numPr>
        <w:rPr>
          <w:lang w:val="en-GB"/>
        </w:rPr>
      </w:pPr>
    </w:p>
    <w:p w:rsidRPr="009A3522" w:rsidR="001B7A7C" w:rsidP="00360894" w:rsidRDefault="00A511DF" w14:paraId="77819FDF" w14:textId="0E6F04B0">
      <w:pPr>
        <w:pStyle w:val="Heading1"/>
        <w:rPr>
          <w:lang w:val="en-GB"/>
        </w:rPr>
      </w:pPr>
      <w:r w:rsidRPr="009A3522">
        <w:rPr>
          <w:lang w:val="en-GB"/>
        </w:rPr>
        <w:t>q</w:t>
      </w:r>
      <w:r w:rsidRPr="009A3522" w:rsidR="00401875">
        <w:rPr>
          <w:lang w:val="en-GB"/>
        </w:rPr>
        <w:t>uotes studies showing that approximately 75% of our health depends on the environment in which we develop our lives</w:t>
      </w:r>
      <w:r w:rsidRPr="009A3522" w:rsidR="00FB6171">
        <w:rPr>
          <w:rStyle w:val="FootnoteReference"/>
          <w:lang w:val="en-GB"/>
        </w:rPr>
        <w:footnoteReference w:id="1"/>
      </w:r>
      <w:r w:rsidRPr="009A3522" w:rsidR="00401875">
        <w:rPr>
          <w:lang w:val="en-GB"/>
        </w:rPr>
        <w:t xml:space="preserve">. The built environment can encourage or discourage active lifestyles, car dependency, social cohesion and much more, which affects our health. Public spaces, buildings, </w:t>
      </w:r>
      <w:r w:rsidRPr="009A3522" w:rsidR="00A06CB8">
        <w:rPr>
          <w:lang w:val="en-GB"/>
        </w:rPr>
        <w:t>neighbourhoods</w:t>
      </w:r>
      <w:r w:rsidRPr="009A3522" w:rsidR="00401875">
        <w:rPr>
          <w:lang w:val="en-GB"/>
        </w:rPr>
        <w:t xml:space="preserve"> and cities themselves have an impact on physical, mental</w:t>
      </w:r>
      <w:r w:rsidR="002C22B2">
        <w:rPr>
          <w:lang w:val="en-GB"/>
        </w:rPr>
        <w:t>, social</w:t>
      </w:r>
      <w:r w:rsidRPr="009A3522" w:rsidR="00401875">
        <w:rPr>
          <w:lang w:val="en-GB"/>
        </w:rPr>
        <w:t xml:space="preserve"> and environmental health. This means that collective health is largely determined by policies outside the health sector</w:t>
      </w:r>
      <w:r w:rsidRPr="009A3522" w:rsidR="007D433F">
        <w:rPr>
          <w:lang w:val="en-GB"/>
        </w:rPr>
        <w:t>. At the same time, health helps make it possible to achieve other objectives; this could, for example, include an increase in active transport when footpaths and cycle paths are interconnected, serving the objective of improving air quality and reducing traffic noise. Health promotion benefits the public, workers, organisations and society alike. People's ability to influence their own living environment contributes to inclusion and community life</w:t>
      </w:r>
      <w:r w:rsidRPr="009A3522" w:rsidR="00401875">
        <w:rPr>
          <w:lang w:val="en-GB"/>
        </w:rPr>
        <w:t>;</w:t>
      </w:r>
    </w:p>
    <w:p w:rsidRPr="009A3522" w:rsidR="00401875" w:rsidP="001C6AA9" w:rsidRDefault="00401875" w14:paraId="3AF16169" w14:textId="387D57A5">
      <w:pPr>
        <w:pStyle w:val="Heading1"/>
        <w:numPr>
          <w:ilvl w:val="0"/>
          <w:numId w:val="0"/>
        </w:numPr>
        <w:rPr>
          <w:lang w:val="en-GB"/>
        </w:rPr>
      </w:pPr>
    </w:p>
    <w:p w:rsidRPr="009A3522" w:rsidR="001B7A7C" w:rsidP="00360894" w:rsidRDefault="00A511DF" w14:paraId="6743BD98" w14:textId="1DE63BF1">
      <w:pPr>
        <w:pStyle w:val="Heading1"/>
        <w:rPr>
          <w:lang w:val="en-GB"/>
        </w:rPr>
      </w:pPr>
      <w:r w:rsidRPr="009A3522">
        <w:rPr>
          <w:lang w:val="en-GB"/>
        </w:rPr>
        <w:t>s</w:t>
      </w:r>
      <w:r w:rsidRPr="009A3522" w:rsidR="00401875">
        <w:rPr>
          <w:lang w:val="en-GB"/>
        </w:rPr>
        <w:t xml:space="preserve">ubscribes to the 1991 World Health Organization (WHO) definition that </w:t>
      </w:r>
      <w:r w:rsidRPr="009A3522" w:rsidR="00DA7BD7">
        <w:rPr>
          <w:lang w:val="en-GB"/>
        </w:rPr>
        <w:t>"</w:t>
      </w:r>
      <w:r w:rsidRPr="009A3522" w:rsidR="00401875">
        <w:rPr>
          <w:lang w:val="en-GB"/>
        </w:rPr>
        <w:t>a Healthy City is not one that has achieved a particular health status. Rather, a Healthy City is conscious of health and striving to improve</w:t>
      </w:r>
      <w:r w:rsidR="00807C37">
        <w:rPr>
          <w:lang w:val="en-GB"/>
        </w:rPr>
        <w:t xml:space="preserve"> it</w:t>
      </w:r>
      <w:r w:rsidRPr="009A3522" w:rsidR="007D433F">
        <w:rPr>
          <w:lang w:val="en-GB"/>
        </w:rPr>
        <w:t>. A Healthy City</w:t>
      </w:r>
      <w:r w:rsidRPr="009A3522" w:rsidR="00401875">
        <w:rPr>
          <w:lang w:val="en-GB"/>
        </w:rPr>
        <w:t xml:space="preserve"> continually creates and improves its physical and social environments and expands community resources that enable people to mutually support each other in performing all the functions of life and developing to their maximum potential</w:t>
      </w:r>
      <w:r w:rsidRPr="009A3522" w:rsidR="00DA7BD7">
        <w:rPr>
          <w:lang w:val="en-GB"/>
        </w:rPr>
        <w:t>"</w:t>
      </w:r>
      <w:r w:rsidRPr="009A3522" w:rsidR="00F75A5B">
        <w:rPr>
          <w:lang w:val="en-GB"/>
        </w:rPr>
        <w:t>;</w:t>
      </w:r>
    </w:p>
    <w:p w:rsidRPr="009A3522" w:rsidR="00401875" w:rsidP="001C6AA9" w:rsidRDefault="00401875" w14:paraId="5932DD19" w14:textId="342E3A59">
      <w:pPr>
        <w:pStyle w:val="Heading1"/>
        <w:numPr>
          <w:ilvl w:val="0"/>
          <w:numId w:val="0"/>
        </w:numPr>
        <w:rPr>
          <w:lang w:val="en-GB"/>
        </w:rPr>
      </w:pPr>
    </w:p>
    <w:p w:rsidRPr="009A3522" w:rsidR="001B7A7C" w:rsidP="00360894" w:rsidRDefault="00A511DF" w14:paraId="35F2B0A2" w14:textId="6C813EA6">
      <w:pPr>
        <w:pStyle w:val="Heading1"/>
        <w:rPr>
          <w:lang w:val="en-GB"/>
        </w:rPr>
      </w:pPr>
      <w:r w:rsidRPr="009A3522">
        <w:rPr>
          <w:lang w:val="en-GB"/>
        </w:rPr>
        <w:t>p</w:t>
      </w:r>
      <w:r w:rsidRPr="009A3522" w:rsidR="00401875">
        <w:rPr>
          <w:lang w:val="en-GB"/>
        </w:rPr>
        <w:t xml:space="preserve">oints out that </w:t>
      </w:r>
      <w:r w:rsidRPr="009A3522" w:rsidR="00DA7BD7">
        <w:rPr>
          <w:lang w:val="en-GB"/>
        </w:rPr>
        <w:t xml:space="preserve">since 2016 </w:t>
      </w:r>
      <w:r w:rsidRPr="009A3522" w:rsidR="00401875">
        <w:rPr>
          <w:lang w:val="en-GB"/>
        </w:rPr>
        <w:t xml:space="preserve">the CoR and the UN WHO Office for Europe have </w:t>
      </w:r>
      <w:r w:rsidRPr="009A3522" w:rsidR="00D166BB">
        <w:rPr>
          <w:lang w:val="en-GB"/>
        </w:rPr>
        <w:t>a</w:t>
      </w:r>
      <w:r w:rsidRPr="009A3522" w:rsidR="00401875">
        <w:rPr>
          <w:lang w:val="en-GB"/>
        </w:rPr>
        <w:t xml:space="preserve"> Memorandum of Understanding in which both parties commit to addressing social, economic and environmental determinants of health and to promoting health and well-being;</w:t>
      </w:r>
    </w:p>
    <w:p w:rsidRPr="009A3522" w:rsidR="00401875" w:rsidP="001C6AA9" w:rsidRDefault="00401875" w14:paraId="0F58EDC3" w14:textId="354D49BC">
      <w:pPr>
        <w:pStyle w:val="Heading1"/>
        <w:numPr>
          <w:ilvl w:val="0"/>
          <w:numId w:val="0"/>
        </w:numPr>
        <w:rPr>
          <w:lang w:val="en-GB"/>
        </w:rPr>
      </w:pPr>
    </w:p>
    <w:p w:rsidRPr="009A3522" w:rsidR="00401875" w:rsidP="00360894" w:rsidRDefault="00A511DF" w14:paraId="61A617F9" w14:textId="71128CA2">
      <w:pPr>
        <w:pStyle w:val="Heading1"/>
        <w:rPr>
          <w:lang w:val="en-GB"/>
        </w:rPr>
      </w:pPr>
      <w:r w:rsidRPr="009A3522">
        <w:rPr>
          <w:lang w:val="en-GB"/>
        </w:rPr>
        <w:t>e</w:t>
      </w:r>
      <w:r w:rsidRPr="009A3522" w:rsidR="00401875">
        <w:rPr>
          <w:lang w:val="en-GB"/>
        </w:rPr>
        <w:t>xpresses satisfaction regarding the cooperation to date and expects both organi</w:t>
      </w:r>
      <w:r w:rsidRPr="009A3522" w:rsidR="00F7652E">
        <w:rPr>
          <w:lang w:val="en-GB"/>
        </w:rPr>
        <w:t>s</w:t>
      </w:r>
      <w:r w:rsidRPr="009A3522" w:rsidR="00401875">
        <w:rPr>
          <w:lang w:val="en-GB"/>
        </w:rPr>
        <w:t>ations, including the WHO</w:t>
      </w:r>
      <w:r w:rsidRPr="009A3522" w:rsidR="00E3042A">
        <w:rPr>
          <w:lang w:val="en-GB"/>
        </w:rPr>
        <w:t>'s</w:t>
      </w:r>
      <w:r w:rsidRPr="009A3522" w:rsidR="00401875">
        <w:rPr>
          <w:lang w:val="en-GB"/>
        </w:rPr>
        <w:t xml:space="preserve"> speciali</w:t>
      </w:r>
      <w:r w:rsidRPr="009A3522" w:rsidR="00F7652E">
        <w:rPr>
          <w:lang w:val="en-GB"/>
        </w:rPr>
        <w:t>s</w:t>
      </w:r>
      <w:r w:rsidRPr="009A3522" w:rsidR="00401875">
        <w:rPr>
          <w:lang w:val="en-GB"/>
        </w:rPr>
        <w:t>ed networks such as Regions for Health and Healthy Cities, to further intensify their political and technical contacts and exchange of policy and practice expertise;</w:t>
      </w:r>
    </w:p>
    <w:p w:rsidRPr="009A3522" w:rsidR="001B7A7C" w:rsidP="001C6AA9" w:rsidRDefault="001B7A7C" w14:paraId="7851225A" w14:textId="77777777">
      <w:pPr>
        <w:rPr>
          <w:lang w:val="en-GB"/>
        </w:rPr>
      </w:pPr>
    </w:p>
    <w:p w:rsidRPr="009A3522" w:rsidR="00401875" w:rsidP="00360894" w:rsidRDefault="00A511DF" w14:paraId="3BF285E5" w14:textId="0F84BF6F">
      <w:pPr>
        <w:pStyle w:val="Heading1"/>
        <w:rPr>
          <w:lang w:val="en-GB"/>
        </w:rPr>
      </w:pPr>
      <w:r w:rsidRPr="009A3522">
        <w:rPr>
          <w:lang w:val="en-GB"/>
        </w:rPr>
        <w:t>d</w:t>
      </w:r>
      <w:r w:rsidRPr="009A3522" w:rsidR="00401875">
        <w:rPr>
          <w:lang w:val="en-GB"/>
        </w:rPr>
        <w:t xml:space="preserve">raws attention to the health and environment process of the WHO and its ministerial conferences, setting the course for action every </w:t>
      </w:r>
      <w:r w:rsidRPr="009A3522" w:rsidR="00F7652E">
        <w:rPr>
          <w:lang w:val="en-GB"/>
        </w:rPr>
        <w:t>four</w:t>
      </w:r>
      <w:r w:rsidRPr="009A3522" w:rsidR="00401875">
        <w:rPr>
          <w:lang w:val="en-GB"/>
        </w:rPr>
        <w:t xml:space="preserve"> years; subscribes to the Budapest Declaration signed by the European Ministers for Health and Environment in July 2023 at the 7th</w:t>
      </w:r>
      <w:r w:rsidRPr="009A3522" w:rsidR="00DE26BC">
        <w:rPr>
          <w:lang w:val="en-GB"/>
        </w:rPr>
        <w:t xml:space="preserve"> </w:t>
      </w:r>
      <w:r w:rsidRPr="009A3522" w:rsidR="00401875">
        <w:rPr>
          <w:lang w:val="en-GB"/>
        </w:rPr>
        <w:t>edition of the conference;</w:t>
      </w:r>
    </w:p>
    <w:p w:rsidRPr="009A3522" w:rsidR="00F75A5B" w:rsidP="00401875" w:rsidRDefault="00F75A5B" w14:paraId="3AF535B2" w14:textId="77777777">
      <w:pPr>
        <w:rPr>
          <w:b/>
          <w:bCs/>
          <w:lang w:val="en-GB"/>
        </w:rPr>
      </w:pPr>
    </w:p>
    <w:p w:rsidRPr="009A3522" w:rsidR="00401875" w:rsidP="00360894" w:rsidRDefault="00401875" w14:paraId="6207853F" w14:textId="000AD760">
      <w:pPr>
        <w:keepNext/>
        <w:keepLines/>
        <w:rPr>
          <w:b/>
          <w:bCs/>
          <w:lang w:val="en-GB"/>
        </w:rPr>
      </w:pPr>
      <w:r w:rsidRPr="009A3522">
        <w:rPr>
          <w:b/>
          <w:bCs/>
          <w:lang w:val="en-GB"/>
        </w:rPr>
        <w:t>Urban environmental health impacts</w:t>
      </w:r>
    </w:p>
    <w:p w:rsidRPr="009A3522" w:rsidR="00F75A5B" w:rsidP="00360894" w:rsidRDefault="00F75A5B" w14:paraId="181FC28D" w14:textId="77777777">
      <w:pPr>
        <w:keepNext/>
        <w:keepLines/>
        <w:rPr>
          <w:b/>
          <w:bCs/>
          <w:lang w:val="en-GB"/>
        </w:rPr>
      </w:pPr>
    </w:p>
    <w:p w:rsidRPr="009A3522" w:rsidR="00401875" w:rsidP="00360894" w:rsidRDefault="00401875" w14:paraId="558FA0AC" w14:textId="3208D6A8">
      <w:pPr>
        <w:keepNext/>
        <w:keepLines/>
        <w:rPr>
          <w:b/>
          <w:bCs/>
          <w:lang w:val="en-GB"/>
        </w:rPr>
      </w:pPr>
      <w:r w:rsidRPr="009A3522">
        <w:rPr>
          <w:b/>
          <w:bCs/>
          <w:lang w:val="en-GB"/>
        </w:rPr>
        <w:t>Air and water quality</w:t>
      </w:r>
    </w:p>
    <w:p w:rsidRPr="009A3522" w:rsidR="00F75A5B" w:rsidP="00360894" w:rsidRDefault="00F75A5B" w14:paraId="35E1C9D6" w14:textId="77777777">
      <w:pPr>
        <w:keepNext/>
        <w:keepLines/>
        <w:rPr>
          <w:b/>
          <w:bCs/>
          <w:lang w:val="en-GB"/>
        </w:rPr>
      </w:pPr>
    </w:p>
    <w:p w:rsidRPr="009A3522" w:rsidR="00F367F6" w:rsidP="001560D2" w:rsidRDefault="00A511DF" w14:paraId="59639DC2" w14:textId="24965B01">
      <w:pPr>
        <w:pStyle w:val="Heading1"/>
        <w:rPr>
          <w:lang w:val="en-GB"/>
        </w:rPr>
      </w:pPr>
      <w:r w:rsidRPr="009A3522">
        <w:rPr>
          <w:lang w:val="en-GB"/>
        </w:rPr>
        <w:t>w</w:t>
      </w:r>
      <w:r w:rsidRPr="009A3522" w:rsidR="00401875">
        <w:rPr>
          <w:lang w:val="en-GB"/>
        </w:rPr>
        <w:t xml:space="preserve">arns that 97% of the urban population in Europe is exposed to unsafe levels of air pollution and regrets the </w:t>
      </w:r>
      <w:r w:rsidR="00CC3738">
        <w:rPr>
          <w:lang w:val="en-GB"/>
        </w:rPr>
        <w:t>327</w:t>
      </w:r>
      <w:r w:rsidRPr="009A3522" w:rsidR="00401875">
        <w:rPr>
          <w:lang w:val="en-GB"/>
        </w:rPr>
        <w:t xml:space="preserve"> 000 lives lost prematurely each year </w:t>
      </w:r>
      <w:r w:rsidR="004C545D">
        <w:rPr>
          <w:lang w:val="en-GB"/>
        </w:rPr>
        <w:t xml:space="preserve">in Europe </w:t>
      </w:r>
      <w:r w:rsidRPr="009A3522" w:rsidR="00401875">
        <w:rPr>
          <w:lang w:val="en-GB"/>
        </w:rPr>
        <w:t>due to air pollution;</w:t>
      </w:r>
      <w:r w:rsidR="00CC3738">
        <w:rPr>
          <w:lang w:val="en-GB"/>
        </w:rPr>
        <w:t xml:space="preserve"> </w:t>
      </w:r>
      <w:r w:rsidRPr="00CC3738" w:rsidR="00CC3738">
        <w:rPr>
          <w:lang w:val="en-GB"/>
        </w:rPr>
        <w:t xml:space="preserve">welcomes the ambition to improve air quality in the EU and moving closer to realising the 2050 zero- pollution objective, whilst allowing and introducing flexibility for </w:t>
      </w:r>
      <w:r w:rsidRPr="00CC3738" w:rsidR="00557BB7">
        <w:rPr>
          <w:lang w:val="en-GB"/>
        </w:rPr>
        <w:t xml:space="preserve">Member States </w:t>
      </w:r>
      <w:r w:rsidRPr="00CC3738" w:rsidR="00CC3738">
        <w:rPr>
          <w:lang w:val="en-GB"/>
        </w:rPr>
        <w:t>in the implementation of the Ambient Air Quality Directive;</w:t>
      </w:r>
    </w:p>
    <w:p w:rsidRPr="009A3522" w:rsidR="00401875" w:rsidP="001C6AA9" w:rsidRDefault="00401875" w14:paraId="0213B7B6" w14:textId="6FAA0CCC">
      <w:pPr>
        <w:pStyle w:val="Heading1"/>
        <w:numPr>
          <w:ilvl w:val="0"/>
          <w:numId w:val="0"/>
        </w:numPr>
        <w:rPr>
          <w:lang w:val="en-GB"/>
        </w:rPr>
      </w:pPr>
    </w:p>
    <w:p w:rsidRPr="009A3522" w:rsidR="00F367F6" w:rsidP="00360894" w:rsidRDefault="00A511DF" w14:paraId="00B66874" w14:textId="69B9E851">
      <w:pPr>
        <w:pStyle w:val="Heading1"/>
        <w:rPr>
          <w:lang w:val="en-GB"/>
        </w:rPr>
      </w:pPr>
      <w:r w:rsidRPr="009A3522">
        <w:rPr>
          <w:lang w:val="en-GB"/>
        </w:rPr>
        <w:t>h</w:t>
      </w:r>
      <w:r w:rsidRPr="009A3522" w:rsidR="00401875">
        <w:rPr>
          <w:lang w:val="en-GB"/>
        </w:rPr>
        <w:t>ighlights that exposure to air pollution can lead to a wide range of diseases, including stroke, chronic obstructive pulmonary disease, trachea, bronchus and lung cancers, aggravated asthma and lower respiratory infections. There is also evidence of links between exposure to air pollution and type 2 diabetes, obesity, systemic inflammation, Alzheimer</w:t>
      </w:r>
      <w:r w:rsidRPr="009A3522" w:rsidR="007C07FD">
        <w:rPr>
          <w:lang w:val="en-GB"/>
        </w:rPr>
        <w:t>'</w:t>
      </w:r>
      <w:r w:rsidRPr="009A3522" w:rsidR="00401875">
        <w:rPr>
          <w:lang w:val="en-GB"/>
        </w:rPr>
        <w:t>s disease and dementia</w:t>
      </w:r>
      <w:r w:rsidRPr="009A3522" w:rsidR="00F75A5B">
        <w:rPr>
          <w:lang w:val="en-GB"/>
        </w:rPr>
        <w:t>;</w:t>
      </w:r>
    </w:p>
    <w:p w:rsidRPr="009A3522" w:rsidR="00401875" w:rsidP="001C6AA9" w:rsidRDefault="00401875" w14:paraId="3BF1E4E8" w14:textId="1C124F28">
      <w:pPr>
        <w:pStyle w:val="Heading1"/>
        <w:numPr>
          <w:ilvl w:val="0"/>
          <w:numId w:val="0"/>
        </w:numPr>
        <w:rPr>
          <w:lang w:val="en-GB"/>
        </w:rPr>
      </w:pPr>
    </w:p>
    <w:p w:rsidRPr="009A3522" w:rsidR="00401875" w:rsidP="00360894" w:rsidRDefault="00401875" w14:paraId="49E77052" w14:textId="3B5ABCD5">
      <w:pPr>
        <w:pStyle w:val="Heading1"/>
        <w:rPr>
          <w:lang w:val="en-GB"/>
        </w:rPr>
      </w:pPr>
      <w:r w:rsidRPr="009A3522">
        <w:rPr>
          <w:lang w:val="en-GB"/>
        </w:rPr>
        <w:t xml:space="preserve">repeats its call to support air quality </w:t>
      </w:r>
      <w:r w:rsidRPr="009A3522" w:rsidR="00F446B5">
        <w:rPr>
          <w:lang w:val="en-GB"/>
        </w:rPr>
        <w:t xml:space="preserve">improvement </w:t>
      </w:r>
      <w:r w:rsidRPr="009A3522">
        <w:rPr>
          <w:lang w:val="en-GB"/>
        </w:rPr>
        <w:t xml:space="preserve">by providing new better targeted EU funding opportunities while simplifying and increasing access to existing funding opportunities, in particular under ERDF, LIFE and EAFRD; </w:t>
      </w:r>
      <w:r w:rsidRPr="009A3522" w:rsidR="007C07FD">
        <w:rPr>
          <w:lang w:val="en-GB"/>
        </w:rPr>
        <w:t xml:space="preserve">also </w:t>
      </w:r>
      <w:r w:rsidRPr="009A3522">
        <w:rPr>
          <w:lang w:val="en-GB"/>
        </w:rPr>
        <w:t>requires technical assistance and multilingual tailored guidance on funding specifically addressed to local and regional authorities;</w:t>
      </w:r>
    </w:p>
    <w:p w:rsidRPr="009A3522" w:rsidR="00F367F6" w:rsidP="001C6AA9" w:rsidRDefault="00F367F6" w14:paraId="0721CC58" w14:textId="77777777">
      <w:pPr>
        <w:rPr>
          <w:lang w:val="en-GB"/>
        </w:rPr>
      </w:pPr>
    </w:p>
    <w:p w:rsidRPr="009A3522" w:rsidR="00401875" w:rsidP="00360894" w:rsidRDefault="00360894" w14:paraId="4ECCE409" w14:textId="7A8C43EB">
      <w:pPr>
        <w:pStyle w:val="Heading1"/>
        <w:rPr>
          <w:lang w:val="en-GB"/>
        </w:rPr>
      </w:pPr>
      <w:r w:rsidRPr="009A3522">
        <w:rPr>
          <w:lang w:val="en-GB"/>
        </w:rPr>
        <w:t>welcomes the recast Drinking Water Directive and its objectives to further protect human health thanks to updated water quality standards, tackle endocrine disruptors and microplastics and guarantee even cleaner tap water for all; calls on the Member States to set up data sets on water quality and to support their cities and regions in efforts to improve their distribution systems;</w:t>
      </w:r>
    </w:p>
    <w:p w:rsidRPr="009A3522" w:rsidR="00F75A5B" w:rsidP="00401875" w:rsidRDefault="00F75A5B" w14:paraId="5CE69BF2" w14:textId="77777777">
      <w:pPr>
        <w:rPr>
          <w:lang w:val="en-GB"/>
        </w:rPr>
      </w:pPr>
    </w:p>
    <w:p w:rsidRPr="009A3522" w:rsidR="00401875" w:rsidP="00360894" w:rsidRDefault="00401875" w14:paraId="25551CD7" w14:textId="15F98CFA">
      <w:pPr>
        <w:keepNext/>
        <w:keepLines/>
        <w:rPr>
          <w:b/>
          <w:bCs/>
          <w:lang w:val="en-GB"/>
        </w:rPr>
      </w:pPr>
      <w:r w:rsidRPr="009A3522">
        <w:rPr>
          <w:b/>
          <w:bCs/>
          <w:lang w:val="en-GB"/>
        </w:rPr>
        <w:t>Noise and light pollution</w:t>
      </w:r>
    </w:p>
    <w:p w:rsidRPr="009A3522" w:rsidR="00F75A5B" w:rsidP="00360894" w:rsidRDefault="00F75A5B" w14:paraId="21A2022D" w14:textId="77777777">
      <w:pPr>
        <w:keepNext/>
        <w:keepLines/>
        <w:rPr>
          <w:b/>
          <w:bCs/>
          <w:lang w:val="en-GB"/>
        </w:rPr>
      </w:pPr>
    </w:p>
    <w:p w:rsidRPr="009A3522" w:rsidR="00401875" w:rsidP="001560D2" w:rsidRDefault="00A511DF" w14:paraId="4D402957" w14:textId="7216849B">
      <w:pPr>
        <w:pStyle w:val="Heading1"/>
        <w:rPr>
          <w:lang w:val="en-GB"/>
        </w:rPr>
      </w:pPr>
      <w:r w:rsidRPr="009A3522">
        <w:rPr>
          <w:lang w:val="en-GB"/>
        </w:rPr>
        <w:t>w</w:t>
      </w:r>
      <w:r w:rsidRPr="009A3522" w:rsidR="00401875">
        <w:rPr>
          <w:lang w:val="en-GB"/>
        </w:rPr>
        <w:t>arns that 20% of the EU population lives in areas where noise levels are harmful to health</w:t>
      </w:r>
      <w:r w:rsidRPr="009A3522" w:rsidR="00F75A5B">
        <w:rPr>
          <w:lang w:val="en-GB"/>
        </w:rPr>
        <w:t>;</w:t>
      </w:r>
    </w:p>
    <w:p w:rsidRPr="009A3522" w:rsidR="00F367F6" w:rsidP="001C6AA9" w:rsidRDefault="00F367F6" w14:paraId="496397AD" w14:textId="77777777">
      <w:pPr>
        <w:rPr>
          <w:lang w:val="en-GB"/>
        </w:rPr>
      </w:pPr>
    </w:p>
    <w:p w:rsidRPr="009A3522" w:rsidR="00401875" w:rsidP="00360894" w:rsidRDefault="007C07FD" w14:paraId="317EC227" w14:textId="73613EE7">
      <w:pPr>
        <w:pStyle w:val="Heading1"/>
        <w:rPr>
          <w:lang w:val="en-GB"/>
        </w:rPr>
      </w:pPr>
      <w:r w:rsidRPr="009A3522">
        <w:rPr>
          <w:lang w:val="en-GB"/>
        </w:rPr>
        <w:t xml:space="preserve">points out </w:t>
      </w:r>
      <w:r w:rsidRPr="009A3522" w:rsidR="00401875">
        <w:rPr>
          <w:lang w:val="en-GB"/>
        </w:rPr>
        <w:t xml:space="preserve">that long-term exposure to environmental noise can disturb heart and metabolism rates, reduce cognitive performance in </w:t>
      </w:r>
      <w:r w:rsidRPr="009A3522" w:rsidR="007D433F">
        <w:rPr>
          <w:lang w:val="en-GB"/>
        </w:rPr>
        <w:t xml:space="preserve">childhood </w:t>
      </w:r>
      <w:r w:rsidRPr="009A3522" w:rsidR="00401875">
        <w:rPr>
          <w:lang w:val="en-GB"/>
        </w:rPr>
        <w:t xml:space="preserve">and cause sleep </w:t>
      </w:r>
      <w:r w:rsidRPr="009A3522">
        <w:rPr>
          <w:lang w:val="en-GB"/>
        </w:rPr>
        <w:t>problems</w:t>
      </w:r>
      <w:r w:rsidRPr="009A3522" w:rsidR="00401875">
        <w:rPr>
          <w:lang w:val="en-GB"/>
        </w:rPr>
        <w:t>. It is estimated to cause 12</w:t>
      </w:r>
      <w:r w:rsidRPr="009A3522">
        <w:rPr>
          <w:lang w:val="en-GB"/>
        </w:rPr>
        <w:t> </w:t>
      </w:r>
      <w:r w:rsidRPr="009A3522" w:rsidR="00401875">
        <w:rPr>
          <w:lang w:val="en-GB"/>
        </w:rPr>
        <w:t>000 premature deaths and to contribute to 48</w:t>
      </w:r>
      <w:r w:rsidRPr="009A3522">
        <w:rPr>
          <w:lang w:val="en-GB"/>
        </w:rPr>
        <w:t> </w:t>
      </w:r>
      <w:r w:rsidRPr="009A3522" w:rsidR="00401875">
        <w:rPr>
          <w:lang w:val="en-GB"/>
        </w:rPr>
        <w:t>000 new cases of ischemic heart disease per year in the European territory</w:t>
      </w:r>
      <w:r w:rsidRPr="009A3522" w:rsidR="00FB6171">
        <w:rPr>
          <w:rStyle w:val="FootnoteReference"/>
          <w:lang w:val="en-GB"/>
        </w:rPr>
        <w:footnoteReference w:id="2"/>
      </w:r>
      <w:r w:rsidRPr="009A3522" w:rsidR="00401875">
        <w:rPr>
          <w:lang w:val="en-GB"/>
        </w:rPr>
        <w:t>;</w:t>
      </w:r>
    </w:p>
    <w:p w:rsidRPr="009A3522" w:rsidR="00F367F6" w:rsidP="001C6AA9" w:rsidRDefault="00F367F6" w14:paraId="3480AC82" w14:textId="77777777">
      <w:pPr>
        <w:rPr>
          <w:lang w:val="en-GB"/>
        </w:rPr>
      </w:pPr>
    </w:p>
    <w:p w:rsidRPr="009A3522" w:rsidR="00D718BD" w:rsidP="00360894" w:rsidRDefault="00401875" w14:paraId="72F762C4" w14:textId="2B1A1E73">
      <w:pPr>
        <w:pStyle w:val="Heading1"/>
        <w:rPr>
          <w:lang w:val="en-GB"/>
        </w:rPr>
      </w:pPr>
      <w:r w:rsidRPr="009A3522">
        <w:rPr>
          <w:lang w:val="en-GB"/>
        </w:rPr>
        <w:t>call</w:t>
      </w:r>
      <w:r w:rsidRPr="009A3522" w:rsidR="007C07FD">
        <w:rPr>
          <w:lang w:val="en-GB"/>
        </w:rPr>
        <w:t>s</w:t>
      </w:r>
      <w:r w:rsidRPr="009A3522">
        <w:rPr>
          <w:lang w:val="en-GB"/>
        </w:rPr>
        <w:t xml:space="preserve"> </w:t>
      </w:r>
      <w:r w:rsidRPr="009A3522" w:rsidR="00D159E8">
        <w:rPr>
          <w:lang w:val="en-GB"/>
        </w:rPr>
        <w:t xml:space="preserve">for </w:t>
      </w:r>
      <w:r w:rsidRPr="009A3522" w:rsidR="00F70C03">
        <w:rPr>
          <w:lang w:val="en-GB"/>
        </w:rPr>
        <w:t xml:space="preserve">support </w:t>
      </w:r>
      <w:r w:rsidRPr="009A3522" w:rsidR="004E20DF">
        <w:rPr>
          <w:lang w:val="en-GB"/>
        </w:rPr>
        <w:t xml:space="preserve">for </w:t>
      </w:r>
      <w:r w:rsidRPr="009A3522" w:rsidR="00F70C03">
        <w:rPr>
          <w:lang w:val="en-GB"/>
        </w:rPr>
        <w:t>local and regional efforts to reduce noise pollution from roads</w:t>
      </w:r>
      <w:r w:rsidRPr="009A3522" w:rsidR="00D159E8">
        <w:rPr>
          <w:lang w:val="en-GB"/>
        </w:rPr>
        <w:t xml:space="preserve"> especially</w:t>
      </w:r>
      <w:r w:rsidRPr="009A3522" w:rsidR="00D718BD">
        <w:rPr>
          <w:lang w:val="en-GB"/>
        </w:rPr>
        <w:t>;</w:t>
      </w:r>
    </w:p>
    <w:p w:rsidRPr="009A3522" w:rsidR="00D718BD" w:rsidRDefault="00D718BD" w14:paraId="05F869AA" w14:textId="77777777">
      <w:pPr>
        <w:pStyle w:val="Heading1"/>
        <w:numPr>
          <w:ilvl w:val="0"/>
          <w:numId w:val="0"/>
        </w:numPr>
        <w:rPr>
          <w:lang w:val="en-GB"/>
        </w:rPr>
      </w:pPr>
    </w:p>
    <w:p w:rsidRPr="009A3522" w:rsidR="00401875" w:rsidP="00360894" w:rsidRDefault="00A511DF" w14:paraId="644F5990" w14:textId="3FB428E8">
      <w:pPr>
        <w:pStyle w:val="Heading1"/>
        <w:rPr>
          <w:lang w:val="en-GB"/>
        </w:rPr>
      </w:pPr>
      <w:r w:rsidRPr="009A3522">
        <w:rPr>
          <w:lang w:val="en-GB"/>
        </w:rPr>
        <w:t>d</w:t>
      </w:r>
      <w:r w:rsidRPr="009A3522" w:rsidR="00401875">
        <w:rPr>
          <w:lang w:val="en-GB"/>
        </w:rPr>
        <w:t>raws attention to light pollution</w:t>
      </w:r>
      <w:r w:rsidRPr="009A3522" w:rsidR="004E20DF">
        <w:rPr>
          <w:lang w:val="en-GB"/>
        </w:rPr>
        <w:t xml:space="preserve">; points out that </w:t>
      </w:r>
      <w:r w:rsidRPr="009A3522" w:rsidR="007C07FD">
        <w:rPr>
          <w:lang w:val="en-GB"/>
        </w:rPr>
        <w:t xml:space="preserve">an </w:t>
      </w:r>
      <w:r w:rsidRPr="009A3522" w:rsidR="004E20DF">
        <w:rPr>
          <w:lang w:val="en-GB"/>
        </w:rPr>
        <w:t>e</w:t>
      </w:r>
      <w:r w:rsidRPr="009A3522" w:rsidR="00401875">
        <w:rPr>
          <w:lang w:val="en-GB"/>
        </w:rPr>
        <w:t>xcessive amount of artificial lighting has an impact on human functioning, including the quality of sleep</w:t>
      </w:r>
      <w:r w:rsidRPr="009A3522" w:rsidR="004E20DF">
        <w:rPr>
          <w:lang w:val="en-GB"/>
        </w:rPr>
        <w:t>;</w:t>
      </w:r>
      <w:r w:rsidRPr="009A3522" w:rsidR="00401875">
        <w:rPr>
          <w:lang w:val="en-GB"/>
        </w:rPr>
        <w:t xml:space="preserve"> in this respect </w:t>
      </w:r>
      <w:r w:rsidRPr="009A3522" w:rsidR="004E20DF">
        <w:rPr>
          <w:lang w:val="en-GB"/>
        </w:rPr>
        <w:t xml:space="preserve">addressing light pollution </w:t>
      </w:r>
      <w:r w:rsidRPr="009A3522" w:rsidR="00401875">
        <w:rPr>
          <w:lang w:val="en-GB"/>
        </w:rPr>
        <w:t>coincides with the goal of reducing energy consumption</w:t>
      </w:r>
      <w:r w:rsidRPr="009A3522" w:rsidR="00F75A5B">
        <w:rPr>
          <w:lang w:val="en-GB"/>
        </w:rPr>
        <w:t>;</w:t>
      </w:r>
    </w:p>
    <w:p w:rsidRPr="009A3522" w:rsidR="00F367F6" w:rsidP="001C6AA9" w:rsidRDefault="00F367F6" w14:paraId="02DEC15F" w14:textId="77777777">
      <w:pPr>
        <w:rPr>
          <w:lang w:val="en-GB"/>
        </w:rPr>
      </w:pPr>
    </w:p>
    <w:p w:rsidRPr="009A3522" w:rsidR="00401875" w:rsidP="001560D2" w:rsidRDefault="00401875" w14:paraId="532BE4CB" w14:textId="077611F0">
      <w:pPr>
        <w:keepNext/>
        <w:rPr>
          <w:b/>
          <w:bCs/>
          <w:lang w:val="en-GB"/>
        </w:rPr>
      </w:pPr>
      <w:r w:rsidRPr="009A3522">
        <w:rPr>
          <w:b/>
          <w:bCs/>
          <w:lang w:val="en-GB"/>
        </w:rPr>
        <w:t>Climate change and health</w:t>
      </w:r>
    </w:p>
    <w:p w:rsidRPr="009A3522" w:rsidR="00401875" w:rsidP="001560D2" w:rsidRDefault="00401875" w14:paraId="55F526C5" w14:textId="4C1E481C">
      <w:pPr>
        <w:keepNext/>
        <w:rPr>
          <w:lang w:val="en-GB"/>
        </w:rPr>
      </w:pPr>
    </w:p>
    <w:p w:rsidRPr="009A3522" w:rsidR="00401875" w:rsidRDefault="00A511DF" w14:paraId="38DD4A67" w14:textId="687F4C1B">
      <w:pPr>
        <w:pStyle w:val="Heading1"/>
        <w:rPr>
          <w:lang w:val="en-GB"/>
        </w:rPr>
      </w:pPr>
      <w:r w:rsidRPr="009A3522">
        <w:rPr>
          <w:lang w:val="en-GB"/>
        </w:rPr>
        <w:t>q</w:t>
      </w:r>
      <w:r w:rsidRPr="009A3522" w:rsidR="00401875">
        <w:rPr>
          <w:lang w:val="en-GB"/>
        </w:rPr>
        <w:t>uotes the European Environment Agency that extreme weather events</w:t>
      </w:r>
      <w:r w:rsidRPr="009A3522" w:rsidR="00F446B5">
        <w:rPr>
          <w:lang w:val="en-GB"/>
        </w:rPr>
        <w:t xml:space="preserve"> including droughts, flooding</w:t>
      </w:r>
      <w:r w:rsidRPr="009A3522" w:rsidR="0031162E">
        <w:rPr>
          <w:lang w:val="en-GB"/>
        </w:rPr>
        <w:t xml:space="preserve"> and</w:t>
      </w:r>
      <w:r w:rsidRPr="009A3522" w:rsidR="00F446B5">
        <w:rPr>
          <w:lang w:val="en-GB"/>
        </w:rPr>
        <w:t xml:space="preserve"> heatwaves can have an</w:t>
      </w:r>
      <w:r w:rsidRPr="009A3522" w:rsidR="00401875">
        <w:rPr>
          <w:lang w:val="en-GB"/>
        </w:rPr>
        <w:t xml:space="preserve"> </w:t>
      </w:r>
      <w:r w:rsidRPr="009A3522" w:rsidR="00F446B5">
        <w:rPr>
          <w:lang w:val="en-GB"/>
        </w:rPr>
        <w:t xml:space="preserve">impact on the </w:t>
      </w:r>
      <w:r w:rsidRPr="009A3522" w:rsidR="00401875">
        <w:rPr>
          <w:lang w:val="en-GB"/>
        </w:rPr>
        <w:t xml:space="preserve">mental health of individuals </w:t>
      </w:r>
      <w:r w:rsidRPr="009A3522" w:rsidR="00F446B5">
        <w:rPr>
          <w:lang w:val="en-GB"/>
        </w:rPr>
        <w:t xml:space="preserve">and </w:t>
      </w:r>
      <w:r w:rsidRPr="009A3522" w:rsidR="00401875">
        <w:rPr>
          <w:lang w:val="en-GB"/>
        </w:rPr>
        <w:t>is concerned that "cases of psychological traumas from climate-related disasters can exceed those of physical injury by 40 to 1"</w:t>
      </w:r>
      <w:r w:rsidRPr="009A3522" w:rsidR="00F75A5B">
        <w:rPr>
          <w:lang w:val="en-GB"/>
        </w:rPr>
        <w:t>.</w:t>
      </w:r>
      <w:r w:rsidRPr="009A3522" w:rsidR="00401875">
        <w:rPr>
          <w:lang w:val="en-GB"/>
        </w:rPr>
        <w:t xml:space="preserve"> </w:t>
      </w:r>
      <w:r w:rsidRPr="009A3522" w:rsidR="00557BB7">
        <w:rPr>
          <w:lang w:val="en-GB"/>
        </w:rPr>
        <w:t>C</w:t>
      </w:r>
      <w:r w:rsidRPr="009A3522" w:rsidR="00401875">
        <w:rPr>
          <w:lang w:val="en-GB"/>
        </w:rPr>
        <w:t xml:space="preserve">alls for urgent action to increase </w:t>
      </w:r>
      <w:r w:rsidRPr="009B01F7" w:rsidR="009B01F7">
        <w:rPr>
          <w:lang w:val="en-GB"/>
        </w:rPr>
        <w:t xml:space="preserve">preventive measures and </w:t>
      </w:r>
      <w:r w:rsidRPr="009A3522" w:rsidR="00401875">
        <w:rPr>
          <w:lang w:val="en-GB"/>
        </w:rPr>
        <w:t>access to mental health service</w:t>
      </w:r>
      <w:r w:rsidRPr="009A3522" w:rsidR="00F446B5">
        <w:rPr>
          <w:lang w:val="en-GB"/>
        </w:rPr>
        <w:t>s</w:t>
      </w:r>
      <w:r w:rsidRPr="009A3522" w:rsidR="00401875">
        <w:rPr>
          <w:lang w:val="en-GB"/>
        </w:rPr>
        <w:t xml:space="preserve"> at the local level</w:t>
      </w:r>
      <w:r w:rsidRPr="009A3522" w:rsidR="007D433F">
        <w:rPr>
          <w:lang w:val="en-GB"/>
        </w:rPr>
        <w:t>. In general, climate change amplifies existing health problems, with the greatest impact on vulnerable groups and communities</w:t>
      </w:r>
      <w:r w:rsidRPr="009A3522" w:rsidR="00401875">
        <w:rPr>
          <w:lang w:val="en-GB"/>
        </w:rPr>
        <w:t>;</w:t>
      </w:r>
    </w:p>
    <w:p w:rsidRPr="009A3522" w:rsidR="00A511DF" w:rsidRDefault="00A511DF" w14:paraId="5D99CB24" w14:textId="77777777">
      <w:pPr>
        <w:pStyle w:val="Heading1"/>
        <w:numPr>
          <w:ilvl w:val="0"/>
          <w:numId w:val="0"/>
        </w:numPr>
        <w:rPr>
          <w:lang w:val="en-GB"/>
        </w:rPr>
      </w:pPr>
    </w:p>
    <w:p w:rsidRPr="009A3522" w:rsidR="00401875" w:rsidP="00360894" w:rsidRDefault="00EF08E1" w14:paraId="1C7C2E68" w14:textId="2E63871C">
      <w:pPr>
        <w:pStyle w:val="Heading1"/>
        <w:rPr>
          <w:lang w:val="en-GB"/>
        </w:rPr>
      </w:pPr>
      <w:r w:rsidRPr="009A3522">
        <w:rPr>
          <w:lang w:val="en-GB"/>
        </w:rPr>
        <w:t xml:space="preserve">notes </w:t>
      </w:r>
      <w:r w:rsidRPr="009A3522" w:rsidR="00401875">
        <w:rPr>
          <w:lang w:val="en-GB"/>
        </w:rPr>
        <w:t>the creation of the European Climate and Health Observatory as a joint initiative of the European Commission, the European Environment Agency and other organi</w:t>
      </w:r>
      <w:r w:rsidRPr="009A3522" w:rsidR="00F70C03">
        <w:rPr>
          <w:lang w:val="en-GB"/>
        </w:rPr>
        <w:t>s</w:t>
      </w:r>
      <w:r w:rsidRPr="009A3522" w:rsidR="00401875">
        <w:rPr>
          <w:lang w:val="en-GB"/>
        </w:rPr>
        <w:t>ations</w:t>
      </w:r>
      <w:r w:rsidRPr="009A3522" w:rsidR="008B3AAC">
        <w:rPr>
          <w:lang w:val="en-GB"/>
        </w:rPr>
        <w:t xml:space="preserve"> </w:t>
      </w:r>
      <w:r w:rsidRPr="009A3522">
        <w:rPr>
          <w:lang w:val="en-GB"/>
        </w:rPr>
        <w:t xml:space="preserve">and </w:t>
      </w:r>
      <w:r w:rsidRPr="009A3522" w:rsidR="00401875">
        <w:rPr>
          <w:lang w:val="en-GB"/>
        </w:rPr>
        <w:t>expects to see regional data featured there</w:t>
      </w:r>
      <w:r w:rsidRPr="009A3522" w:rsidR="00F446B5">
        <w:rPr>
          <w:lang w:val="en-GB"/>
        </w:rPr>
        <w:t>;</w:t>
      </w:r>
      <w:r w:rsidRPr="009A3522" w:rsidR="00401875">
        <w:rPr>
          <w:lang w:val="en-GB"/>
        </w:rPr>
        <w:t xml:space="preserve"> </w:t>
      </w:r>
    </w:p>
    <w:p w:rsidRPr="009A3522" w:rsidR="00F367F6" w:rsidP="001C6AA9" w:rsidRDefault="00F367F6" w14:paraId="49F026C2" w14:textId="77777777">
      <w:pPr>
        <w:rPr>
          <w:lang w:val="en-GB"/>
        </w:rPr>
      </w:pPr>
    </w:p>
    <w:p w:rsidRPr="009A3522" w:rsidR="00401875" w:rsidP="00360894" w:rsidRDefault="00401875" w14:paraId="630D0F37" w14:textId="6FAB81BF">
      <w:pPr>
        <w:keepNext/>
        <w:keepLines/>
        <w:rPr>
          <w:b/>
          <w:bCs/>
          <w:lang w:val="en-GB"/>
        </w:rPr>
      </w:pPr>
      <w:r w:rsidRPr="009A3522">
        <w:rPr>
          <w:b/>
          <w:bCs/>
          <w:lang w:val="en-GB"/>
        </w:rPr>
        <w:t>Health promotion and disease prevention</w:t>
      </w:r>
    </w:p>
    <w:p w:rsidRPr="009A3522" w:rsidR="00F75A5B" w:rsidP="00360894" w:rsidRDefault="00F75A5B" w14:paraId="219D6942" w14:textId="77777777">
      <w:pPr>
        <w:keepNext/>
        <w:keepLines/>
        <w:rPr>
          <w:b/>
          <w:bCs/>
          <w:lang w:val="en-GB"/>
        </w:rPr>
      </w:pPr>
    </w:p>
    <w:p w:rsidRPr="009A3522" w:rsidR="00401875" w:rsidP="001560D2" w:rsidRDefault="00A511DF" w14:paraId="070D9D1B" w14:textId="3B431909">
      <w:pPr>
        <w:pStyle w:val="Heading1"/>
        <w:rPr>
          <w:lang w:val="en-GB"/>
        </w:rPr>
      </w:pPr>
      <w:r w:rsidRPr="009A3522">
        <w:rPr>
          <w:lang w:val="en-GB"/>
        </w:rPr>
        <w:t>r</w:t>
      </w:r>
      <w:r w:rsidRPr="009A3522" w:rsidR="00401875">
        <w:rPr>
          <w:lang w:val="en-GB"/>
        </w:rPr>
        <w:t>eiterates that Article 35 of the EU Charter of Fundamental Rights stipulates that "everyone has the right of access to preventive health care and the right to benefit from medical treatment under the conditions established by national laws and practices. A high level of human health protection shall be ensured in the definition and implementation of all Union policies and activities"</w:t>
      </w:r>
      <w:r w:rsidRPr="009A3522" w:rsidR="00F75A5B">
        <w:rPr>
          <w:lang w:val="en-GB"/>
        </w:rPr>
        <w:t>;</w:t>
      </w:r>
    </w:p>
    <w:p w:rsidRPr="009A3522" w:rsidR="00F367F6" w:rsidP="001C6AA9" w:rsidRDefault="00F367F6" w14:paraId="5DB665BE" w14:textId="77777777">
      <w:pPr>
        <w:rPr>
          <w:lang w:val="en-GB"/>
        </w:rPr>
      </w:pPr>
    </w:p>
    <w:p w:rsidRPr="009A3522" w:rsidR="00401875" w:rsidP="00360894" w:rsidRDefault="00A511DF" w14:paraId="3050CC68" w14:textId="18243C46">
      <w:pPr>
        <w:pStyle w:val="Heading1"/>
        <w:rPr>
          <w:lang w:val="en-GB"/>
        </w:rPr>
      </w:pPr>
      <w:r w:rsidRPr="009A3522">
        <w:rPr>
          <w:lang w:val="en-GB"/>
        </w:rPr>
        <w:t>d</w:t>
      </w:r>
      <w:r w:rsidRPr="009A3522" w:rsidR="00401875">
        <w:rPr>
          <w:lang w:val="en-GB"/>
        </w:rPr>
        <w:t>efines health promotion as "the process of enabling people to increase control over and to improve their health" and points out that throughout Europe, approximately 3% of health system expenditure is assigned to health promotion and disease prevention. By comparison, around two thirds are spent on curative and rehabilitative care, with the remainder on medical goods and governance;</w:t>
      </w:r>
    </w:p>
    <w:p w:rsidRPr="009A3522" w:rsidR="00F367F6" w:rsidP="001C6AA9" w:rsidRDefault="00F367F6" w14:paraId="70C7A4B0" w14:textId="77777777">
      <w:pPr>
        <w:rPr>
          <w:lang w:val="en-GB"/>
        </w:rPr>
      </w:pPr>
    </w:p>
    <w:p w:rsidRPr="009A3522" w:rsidR="00401875" w:rsidP="00360894" w:rsidRDefault="00A511DF" w14:paraId="26BE8315" w14:textId="5D33041C">
      <w:pPr>
        <w:pStyle w:val="Heading1"/>
        <w:rPr>
          <w:lang w:val="en-GB"/>
        </w:rPr>
      </w:pPr>
      <w:r w:rsidRPr="009A3522">
        <w:rPr>
          <w:lang w:val="en-GB"/>
        </w:rPr>
        <w:t>r</w:t>
      </w:r>
      <w:r w:rsidRPr="009A3522" w:rsidR="00401875">
        <w:rPr>
          <w:lang w:val="en-GB"/>
        </w:rPr>
        <w:t xml:space="preserve">efers to the latest Eurostat publication on preventive health care expenditure statistics </w:t>
      </w:r>
      <w:r w:rsidRPr="009A3522" w:rsidR="0031162E">
        <w:rPr>
          <w:lang w:val="en-GB"/>
        </w:rPr>
        <w:t xml:space="preserve">which shows </w:t>
      </w:r>
      <w:r w:rsidRPr="009A3522" w:rsidR="00401875">
        <w:rPr>
          <w:lang w:val="en-GB"/>
        </w:rPr>
        <w:t xml:space="preserve">that in the first year of the pandemic, Member States spent on average around </w:t>
      </w:r>
      <w:r w:rsidRPr="009A3522" w:rsidR="0031162E">
        <w:rPr>
          <w:lang w:val="en-GB"/>
        </w:rPr>
        <w:t xml:space="preserve">EUR </w:t>
      </w:r>
      <w:r w:rsidRPr="009A3522" w:rsidR="00401875">
        <w:rPr>
          <w:lang w:val="en-GB"/>
        </w:rPr>
        <w:t xml:space="preserve">100 per person on prevention; calls on the Member States to </w:t>
      </w:r>
      <w:r w:rsidRPr="009A3522" w:rsidR="00326F79">
        <w:rPr>
          <w:lang w:val="en-GB"/>
        </w:rPr>
        <w:t xml:space="preserve">further strengthen </w:t>
      </w:r>
      <w:r w:rsidRPr="009A3522" w:rsidR="00401875">
        <w:rPr>
          <w:lang w:val="en-GB"/>
        </w:rPr>
        <w:t xml:space="preserve">health promotion and disease prevention and to </w:t>
      </w:r>
      <w:r w:rsidRPr="009A3522" w:rsidR="0031162E">
        <w:rPr>
          <w:lang w:val="en-GB"/>
        </w:rPr>
        <w:t xml:space="preserve">clearly </w:t>
      </w:r>
      <w:r w:rsidRPr="009A3522" w:rsidR="00401875">
        <w:rPr>
          <w:lang w:val="en-GB"/>
        </w:rPr>
        <w:t xml:space="preserve">communicate the </w:t>
      </w:r>
      <w:r w:rsidRPr="009A3522" w:rsidR="00F446B5">
        <w:rPr>
          <w:lang w:val="en-GB"/>
        </w:rPr>
        <w:t xml:space="preserve">social and economic </w:t>
      </w:r>
      <w:r w:rsidRPr="009A3522" w:rsidR="00401875">
        <w:rPr>
          <w:lang w:val="en-GB"/>
        </w:rPr>
        <w:t xml:space="preserve">advantages </w:t>
      </w:r>
      <w:r w:rsidRPr="009A3522" w:rsidR="00F446B5">
        <w:rPr>
          <w:lang w:val="en-GB"/>
        </w:rPr>
        <w:t>of preventive</w:t>
      </w:r>
      <w:r w:rsidRPr="009A3522" w:rsidR="00401875">
        <w:rPr>
          <w:lang w:val="en-GB"/>
        </w:rPr>
        <w:t xml:space="preserve"> health care expenditure;</w:t>
      </w:r>
    </w:p>
    <w:p w:rsidRPr="009A3522" w:rsidR="00F367F6" w:rsidP="001C6AA9" w:rsidRDefault="00F367F6" w14:paraId="538CD33C" w14:textId="77777777">
      <w:pPr>
        <w:rPr>
          <w:lang w:val="en-GB"/>
        </w:rPr>
      </w:pPr>
    </w:p>
    <w:p w:rsidRPr="009A3522" w:rsidR="00401875" w:rsidP="00360894" w:rsidRDefault="00A511DF" w14:paraId="75B7732C" w14:textId="74B71535">
      <w:pPr>
        <w:pStyle w:val="Heading1"/>
        <w:rPr>
          <w:bCs/>
          <w:iCs/>
          <w:lang w:val="en-GB"/>
        </w:rPr>
      </w:pPr>
      <w:r w:rsidRPr="009A3522">
        <w:rPr>
          <w:lang w:val="en-GB"/>
        </w:rPr>
        <w:t>p</w:t>
      </w:r>
      <w:r w:rsidRPr="009A3522" w:rsidR="00401875">
        <w:rPr>
          <w:lang w:val="en-GB"/>
        </w:rPr>
        <w:t xml:space="preserve">oints out that health promotion </w:t>
      </w:r>
      <w:r w:rsidRPr="009A3522" w:rsidR="00F446B5">
        <w:rPr>
          <w:lang w:val="en-GB"/>
        </w:rPr>
        <w:t xml:space="preserve">typically </w:t>
      </w:r>
      <w:r w:rsidRPr="009A3522" w:rsidR="00401875">
        <w:rPr>
          <w:lang w:val="en-GB"/>
        </w:rPr>
        <w:t xml:space="preserve">includes but is not limited to policy and practice interventions related to tobacco and alcohol use, diet and physical activity, healthy ageing, </w:t>
      </w:r>
      <w:r w:rsidRPr="009A3522" w:rsidR="007D433F">
        <w:rPr>
          <w:lang w:val="en-GB"/>
        </w:rPr>
        <w:t>emotional well-being</w:t>
      </w:r>
      <w:r w:rsidRPr="009A3522" w:rsidR="00401875">
        <w:rPr>
          <w:lang w:val="en-GB"/>
        </w:rPr>
        <w:t xml:space="preserve">, violence and injury prevention, drug abuse control, health </w:t>
      </w:r>
      <w:r w:rsidRPr="009A3522" w:rsidR="00A06CB8">
        <w:rPr>
          <w:lang w:val="en-GB"/>
        </w:rPr>
        <w:t>behaviour</w:t>
      </w:r>
      <w:r w:rsidRPr="009A3522" w:rsidR="00401875">
        <w:rPr>
          <w:lang w:val="en-GB"/>
        </w:rPr>
        <w:t xml:space="preserve"> related to sexually transmitted diseases and sexual health</w:t>
      </w:r>
      <w:r w:rsidRPr="009A3522" w:rsidR="007D433F">
        <w:rPr>
          <w:lang w:val="en-GB"/>
        </w:rPr>
        <w:t xml:space="preserve">. </w:t>
      </w:r>
      <w:r w:rsidRPr="001560D2" w:rsidR="007D433F">
        <w:rPr>
          <w:bCs/>
          <w:iCs/>
          <w:lang w:val="en-GB"/>
        </w:rPr>
        <w:t>Therefore, considers it important to expand efforts and to make use of the full breadth of health promotion work, based on health and social determinants such as education and work</w:t>
      </w:r>
      <w:r w:rsidRPr="009A3522" w:rsidR="00401875">
        <w:rPr>
          <w:bCs/>
          <w:iCs/>
          <w:lang w:val="en-GB"/>
        </w:rPr>
        <w:t>;</w:t>
      </w:r>
    </w:p>
    <w:p w:rsidRPr="001560D2" w:rsidR="007D433F" w:rsidP="001560D2" w:rsidRDefault="007D433F" w14:paraId="3AE71336" w14:textId="77777777">
      <w:pPr>
        <w:rPr>
          <w:lang w:val="en-GB"/>
        </w:rPr>
      </w:pPr>
    </w:p>
    <w:p w:rsidRPr="009A3522" w:rsidR="007F09AA" w:rsidP="007F09AA" w:rsidRDefault="009B01F7" w14:paraId="5C750190" w14:textId="372DEFA9">
      <w:pPr>
        <w:pStyle w:val="Heading1"/>
        <w:rPr>
          <w:lang w:val="en-GB"/>
        </w:rPr>
      </w:pPr>
      <w:r>
        <w:rPr>
          <w:lang w:val="en-GB"/>
        </w:rPr>
        <w:t>e</w:t>
      </w:r>
      <w:r w:rsidRPr="009A3522" w:rsidR="007D433F">
        <w:rPr>
          <w:lang w:val="en-GB"/>
        </w:rPr>
        <w:t>ncourages cities and municipalities</w:t>
      </w:r>
      <w:r w:rsidRPr="009B01F7">
        <w:rPr>
          <w:lang w:val="en-GB"/>
        </w:rPr>
        <w:t>, or regional actors responsible for local social and healthcare,</w:t>
      </w:r>
      <w:r w:rsidRPr="009A3522" w:rsidR="007D433F">
        <w:rPr>
          <w:lang w:val="en-GB"/>
        </w:rPr>
        <w:t xml:space="preserve"> to set up structures to support local populations on health issues, such as drug prevention, family planning, mental health, and for victims of violence;</w:t>
      </w:r>
    </w:p>
    <w:p w:rsidRPr="009A3522" w:rsidR="007D433F" w:rsidP="001560D2" w:rsidRDefault="007D433F" w14:paraId="6204CCE3" w14:textId="0FC9DE56">
      <w:pPr>
        <w:pStyle w:val="Heading1"/>
        <w:numPr>
          <w:ilvl w:val="0"/>
          <w:numId w:val="0"/>
        </w:numPr>
        <w:rPr>
          <w:lang w:val="en-GB"/>
        </w:rPr>
      </w:pPr>
    </w:p>
    <w:p w:rsidRPr="009A3522" w:rsidR="00401875" w:rsidP="00360894" w:rsidRDefault="00401875" w14:paraId="19CA682E" w14:textId="355E7E0D">
      <w:pPr>
        <w:keepNext/>
        <w:keepLines/>
        <w:rPr>
          <w:b/>
          <w:bCs/>
          <w:lang w:val="en-GB"/>
        </w:rPr>
      </w:pPr>
      <w:r w:rsidRPr="009A3522">
        <w:rPr>
          <w:b/>
          <w:bCs/>
          <w:lang w:val="en-GB"/>
        </w:rPr>
        <w:t>Role of public authorities in health promotion</w:t>
      </w:r>
    </w:p>
    <w:p w:rsidRPr="009A3522" w:rsidR="00F75A5B" w:rsidP="00360894" w:rsidRDefault="00F75A5B" w14:paraId="051678CA" w14:textId="77777777">
      <w:pPr>
        <w:keepNext/>
        <w:keepLines/>
        <w:rPr>
          <w:b/>
          <w:bCs/>
          <w:lang w:val="en-GB"/>
        </w:rPr>
      </w:pPr>
    </w:p>
    <w:p w:rsidRPr="009A3522" w:rsidR="007F09AA" w:rsidP="007F09AA" w:rsidRDefault="00A511DF" w14:paraId="4E6347BB" w14:textId="77777777">
      <w:pPr>
        <w:pStyle w:val="Heading1"/>
        <w:rPr>
          <w:lang w:val="en-GB"/>
        </w:rPr>
      </w:pPr>
      <w:r w:rsidRPr="009A3522">
        <w:rPr>
          <w:lang w:val="en-GB"/>
        </w:rPr>
        <w:t>r</w:t>
      </w:r>
      <w:r w:rsidRPr="009A3522" w:rsidR="00401875">
        <w:rPr>
          <w:lang w:val="en-GB"/>
        </w:rPr>
        <w:t>eiterates that the management of health systems is decentrali</w:t>
      </w:r>
      <w:r w:rsidRPr="009A3522" w:rsidR="00970CBF">
        <w:rPr>
          <w:lang w:val="en-GB"/>
        </w:rPr>
        <w:t>s</w:t>
      </w:r>
      <w:r w:rsidRPr="009A3522" w:rsidR="00401875">
        <w:rPr>
          <w:lang w:val="en-GB"/>
        </w:rPr>
        <w:t>ed in the majority of EU Member States; although the degree of decentrali</w:t>
      </w:r>
      <w:r w:rsidRPr="009A3522" w:rsidR="00970CBF">
        <w:rPr>
          <w:lang w:val="en-GB"/>
        </w:rPr>
        <w:t>s</w:t>
      </w:r>
      <w:r w:rsidRPr="009A3522" w:rsidR="00401875">
        <w:rPr>
          <w:lang w:val="en-GB"/>
        </w:rPr>
        <w:t>ation may vary, in most countries regions and cities have a vital role to play in the design, delivery or financing of healthcare services;</w:t>
      </w:r>
    </w:p>
    <w:p w:rsidRPr="009A3522" w:rsidR="00F367F6" w:rsidP="001C6AA9" w:rsidRDefault="00F367F6" w14:paraId="4E89A249" w14:textId="77777777">
      <w:pPr>
        <w:rPr>
          <w:lang w:val="en-GB"/>
        </w:rPr>
      </w:pPr>
    </w:p>
    <w:p w:rsidRPr="009A3522" w:rsidR="00EE1396" w:rsidP="00EE1396" w:rsidRDefault="00A511DF" w14:paraId="4897CBEF" w14:textId="68968309">
      <w:pPr>
        <w:pStyle w:val="Heading1"/>
        <w:rPr>
          <w:lang w:val="en-GB"/>
        </w:rPr>
      </w:pPr>
      <w:r w:rsidRPr="009A3522">
        <w:rPr>
          <w:lang w:val="en-GB"/>
        </w:rPr>
        <w:t>a</w:t>
      </w:r>
      <w:r w:rsidRPr="009A3522" w:rsidR="00401875">
        <w:rPr>
          <w:lang w:val="en-GB"/>
        </w:rPr>
        <w:t>grees with the OE</w:t>
      </w:r>
      <w:r w:rsidR="00864674">
        <w:rPr>
          <w:lang w:val="en-GB"/>
        </w:rPr>
        <w:t>C</w:t>
      </w:r>
      <w:r w:rsidRPr="009A3522" w:rsidR="00401875">
        <w:rPr>
          <w:lang w:val="en-GB"/>
        </w:rPr>
        <w:t>D that</w:t>
      </w:r>
      <w:r w:rsidRPr="001D6E9D" w:rsidR="001D6E9D">
        <w:t xml:space="preserve"> </w:t>
      </w:r>
      <w:r w:rsidRPr="001D6E9D" w:rsidR="001D6E9D">
        <w:rPr>
          <w:lang w:val="en-GB"/>
        </w:rPr>
        <w:t>health promotion and</w:t>
      </w:r>
      <w:r w:rsidRPr="009A3522" w:rsidR="00401875">
        <w:rPr>
          <w:lang w:val="en-GB"/>
        </w:rPr>
        <w:t xml:space="preserve"> "preventive care </w:t>
      </w:r>
      <w:r w:rsidR="001D6E9D">
        <w:rPr>
          <w:lang w:val="en-GB"/>
        </w:rPr>
        <w:t xml:space="preserve">are </w:t>
      </w:r>
      <w:r w:rsidRPr="009A3522" w:rsidR="00401875">
        <w:rPr>
          <w:lang w:val="en-GB"/>
        </w:rPr>
        <w:t xml:space="preserve">cornerstones of an effective health system". </w:t>
      </w:r>
      <w:r w:rsidRPr="009A3522" w:rsidR="004F3FD9">
        <w:rPr>
          <w:lang w:val="en-GB"/>
        </w:rPr>
        <w:t>E</w:t>
      </w:r>
      <w:r w:rsidRPr="009A3522" w:rsidR="00401875">
        <w:rPr>
          <w:lang w:val="en-GB"/>
        </w:rPr>
        <w:t xml:space="preserve">ffective </w:t>
      </w:r>
      <w:r w:rsidRPr="00E5124E" w:rsidR="00E5124E">
        <w:rPr>
          <w:lang w:val="en-GB"/>
        </w:rPr>
        <w:t xml:space="preserve">health promotion and </w:t>
      </w:r>
      <w:r w:rsidRPr="009A3522" w:rsidR="00401875">
        <w:rPr>
          <w:lang w:val="en-GB"/>
        </w:rPr>
        <w:t>preventive care policies limit the occurrence of new diseases and reduce the incidence of existing communicable and non-communicable diseases. Municipal, provincial and regional strategies to boost health promotion</w:t>
      </w:r>
      <w:r w:rsidR="00E5124E">
        <w:rPr>
          <w:lang w:val="en-GB"/>
        </w:rPr>
        <w:t xml:space="preserve"> and prevention </w:t>
      </w:r>
      <w:r w:rsidRPr="009A3522" w:rsidR="00401875">
        <w:rPr>
          <w:lang w:val="en-GB"/>
        </w:rPr>
        <w:t>are therefore the foundations of the EU Health Union;</w:t>
      </w:r>
    </w:p>
    <w:p w:rsidRPr="009A3522" w:rsidR="00F367F6" w:rsidP="001C6AA9" w:rsidRDefault="00F367F6" w14:paraId="01BA819A" w14:textId="77777777">
      <w:pPr>
        <w:rPr>
          <w:lang w:val="en-GB"/>
        </w:rPr>
      </w:pPr>
    </w:p>
    <w:p w:rsidRPr="009A3522" w:rsidR="00EE1396" w:rsidP="00EE1396" w:rsidRDefault="00A511DF" w14:paraId="36A38C7A" w14:textId="77777777">
      <w:pPr>
        <w:pStyle w:val="Heading1"/>
        <w:rPr>
          <w:lang w:val="en-GB"/>
        </w:rPr>
      </w:pPr>
      <w:r w:rsidRPr="009A3522">
        <w:rPr>
          <w:lang w:val="en-GB"/>
        </w:rPr>
        <w:t>i</w:t>
      </w:r>
      <w:r w:rsidRPr="009A3522" w:rsidR="00401875">
        <w:rPr>
          <w:lang w:val="en-GB"/>
        </w:rPr>
        <w:t>s convinced that elected mayors and other local leaders have soft powers beyond their formal responsibilities that they can use to drive pro-health policies</w:t>
      </w:r>
      <w:r w:rsidRPr="009A3522" w:rsidR="00F75A5B">
        <w:rPr>
          <w:lang w:val="en-GB"/>
        </w:rPr>
        <w:t>;</w:t>
      </w:r>
    </w:p>
    <w:p w:rsidRPr="009A3522" w:rsidR="00970CBF" w:rsidRDefault="00970CBF" w14:paraId="0BA2E976" w14:textId="77777777">
      <w:pPr>
        <w:pStyle w:val="Heading1"/>
        <w:numPr>
          <w:ilvl w:val="0"/>
          <w:numId w:val="0"/>
        </w:numPr>
        <w:rPr>
          <w:lang w:val="en-GB"/>
        </w:rPr>
      </w:pPr>
    </w:p>
    <w:p w:rsidRPr="009A3522" w:rsidR="00EE1396" w:rsidP="00EE1396" w:rsidRDefault="00970CBF" w14:paraId="19742268" w14:textId="77777777">
      <w:pPr>
        <w:pStyle w:val="Heading1"/>
        <w:rPr>
          <w:lang w:val="en-GB"/>
        </w:rPr>
      </w:pPr>
      <w:r w:rsidRPr="009A3522">
        <w:rPr>
          <w:lang w:val="en-GB"/>
        </w:rPr>
        <w:t>considers the promotion of basic telehealth services for the treatment and monitoring of home-based patients a priority; telemedicine can generate economic and social savings through the provision of efficient treatment in the home</w:t>
      </w:r>
      <w:r w:rsidRPr="009A3522" w:rsidR="00B550BC">
        <w:rPr>
          <w:rStyle w:val="FootnoteReference"/>
          <w:szCs w:val="24"/>
          <w:lang w:val="en-GB"/>
        </w:rPr>
        <w:footnoteReference w:id="3"/>
      </w:r>
      <w:r w:rsidRPr="009A3522">
        <w:rPr>
          <w:lang w:val="en-GB"/>
        </w:rPr>
        <w:t>;</w:t>
      </w:r>
      <w:r w:rsidRPr="009A3522" w:rsidR="00B550BC">
        <w:rPr>
          <w:lang w:val="en-GB"/>
        </w:rPr>
        <w:t xml:space="preserve"> </w:t>
      </w:r>
    </w:p>
    <w:p w:rsidRPr="009A3522" w:rsidR="00F367F6" w:rsidP="001C6AA9" w:rsidRDefault="00F367F6" w14:paraId="1557821E" w14:textId="77777777">
      <w:pPr>
        <w:rPr>
          <w:lang w:val="en-GB"/>
        </w:rPr>
      </w:pPr>
    </w:p>
    <w:p w:rsidRPr="009A3522" w:rsidR="00401875" w:rsidP="00360894" w:rsidRDefault="00A511DF" w14:paraId="34CD8896" w14:textId="780B6542">
      <w:pPr>
        <w:pStyle w:val="Heading1"/>
        <w:rPr>
          <w:lang w:val="en-GB"/>
        </w:rPr>
      </w:pPr>
      <w:r w:rsidRPr="009A3522">
        <w:rPr>
          <w:lang w:val="en-GB"/>
        </w:rPr>
        <w:t>q</w:t>
      </w:r>
      <w:r w:rsidRPr="009A3522" w:rsidR="00401875">
        <w:rPr>
          <w:lang w:val="en-GB"/>
        </w:rPr>
        <w:t xml:space="preserve">uotes scientific evidence that the urban environment affects health outcomes, resulting in both an </w:t>
      </w:r>
      <w:r w:rsidRPr="009A3522" w:rsidR="00794865">
        <w:rPr>
          <w:lang w:val="en-GB"/>
        </w:rPr>
        <w:t>"</w:t>
      </w:r>
      <w:r w:rsidRPr="009A3522" w:rsidR="00401875">
        <w:rPr>
          <w:lang w:val="en-GB"/>
        </w:rPr>
        <w:t>urban health advantage</w:t>
      </w:r>
      <w:r w:rsidRPr="009A3522" w:rsidR="00794865">
        <w:rPr>
          <w:lang w:val="en-GB"/>
        </w:rPr>
        <w:t>"</w:t>
      </w:r>
      <w:r w:rsidRPr="009A3522" w:rsidR="00401875">
        <w:rPr>
          <w:lang w:val="en-GB"/>
        </w:rPr>
        <w:t xml:space="preserve"> and an </w:t>
      </w:r>
      <w:r w:rsidRPr="009A3522" w:rsidR="00794865">
        <w:rPr>
          <w:lang w:val="en-GB"/>
        </w:rPr>
        <w:t>"</w:t>
      </w:r>
      <w:r w:rsidRPr="009A3522" w:rsidR="00401875">
        <w:rPr>
          <w:lang w:val="en-GB"/>
        </w:rPr>
        <w:t>urban health penalty</w:t>
      </w:r>
      <w:r w:rsidRPr="009A3522" w:rsidR="00794865">
        <w:rPr>
          <w:lang w:val="en-GB"/>
        </w:rPr>
        <w:t>"</w:t>
      </w:r>
      <w:r w:rsidRPr="009A3522" w:rsidR="00401875">
        <w:rPr>
          <w:lang w:val="en-GB"/>
        </w:rPr>
        <w:t>; these advantages and penalties are distributed unevenly across socioeconomic groups and geographical locations; calls for more research into these phenomena to better target local policy solutions to increase advantages and mitigate penalties;</w:t>
      </w:r>
    </w:p>
    <w:p w:rsidRPr="009A3522" w:rsidR="00EF0D0B" w:rsidP="00EF0D0B" w:rsidRDefault="00EF0D0B" w14:paraId="58DCB7F1" w14:textId="77777777">
      <w:pPr>
        <w:rPr>
          <w:lang w:val="en-GB"/>
        </w:rPr>
      </w:pPr>
    </w:p>
    <w:p w:rsidRPr="009A3522" w:rsidR="00EE1396" w:rsidP="00EE1396" w:rsidRDefault="00EF0D0B" w14:paraId="660934B6" w14:textId="0FB673FA">
      <w:pPr>
        <w:pStyle w:val="Heading1"/>
        <w:rPr>
          <w:lang w:val="en-GB"/>
        </w:rPr>
      </w:pPr>
      <w:r w:rsidRPr="009A3522">
        <w:rPr>
          <w:lang w:val="en-GB"/>
        </w:rPr>
        <w:t xml:space="preserve">underlines that regional and local authorities </w:t>
      </w:r>
      <w:r w:rsidRPr="00DA0CBE" w:rsidR="00DA0CBE">
        <w:rPr>
          <w:lang w:val="en-GB"/>
        </w:rPr>
        <w:t xml:space="preserve">together with other relevant actors </w:t>
      </w:r>
      <w:r w:rsidRPr="009A3522">
        <w:rPr>
          <w:lang w:val="en-GB"/>
        </w:rPr>
        <w:t>are the best placed to foster the practice of sport (both indoor and outdoor) which plays a crucial role in health promotion and disease prevention. Encourages the European Union to support this action within all its policies;</w:t>
      </w:r>
    </w:p>
    <w:p w:rsidRPr="009A3522" w:rsidR="00F75A5B" w:rsidP="00401875" w:rsidRDefault="00F75A5B" w14:paraId="5421A689" w14:textId="77777777">
      <w:pPr>
        <w:rPr>
          <w:lang w:val="en-GB"/>
        </w:rPr>
      </w:pPr>
    </w:p>
    <w:p w:rsidRPr="009A3522" w:rsidR="00401875" w:rsidP="00360894" w:rsidRDefault="00401875" w14:paraId="4BFDA960" w14:textId="29FEB874">
      <w:pPr>
        <w:keepNext/>
        <w:keepLines/>
        <w:rPr>
          <w:b/>
          <w:bCs/>
          <w:lang w:val="en-GB"/>
        </w:rPr>
      </w:pPr>
      <w:r w:rsidRPr="009A3522">
        <w:rPr>
          <w:b/>
          <w:bCs/>
          <w:lang w:val="en-GB"/>
        </w:rPr>
        <w:t>Urban planning and mobility for health</w:t>
      </w:r>
    </w:p>
    <w:p w:rsidRPr="009A3522" w:rsidR="00401875" w:rsidP="00360894" w:rsidRDefault="00401875" w14:paraId="5D579B45" w14:textId="0E708FBE">
      <w:pPr>
        <w:keepNext/>
        <w:keepLines/>
        <w:rPr>
          <w:lang w:val="en-GB"/>
        </w:rPr>
      </w:pPr>
    </w:p>
    <w:p w:rsidRPr="009A3522" w:rsidR="00EE1396" w:rsidP="00EE1396" w:rsidRDefault="00A511DF" w14:paraId="25411A0B" w14:textId="5C004477">
      <w:pPr>
        <w:pStyle w:val="Heading1"/>
        <w:rPr>
          <w:lang w:val="en-GB"/>
        </w:rPr>
      </w:pPr>
      <w:r w:rsidRPr="009A3522">
        <w:rPr>
          <w:lang w:val="en-GB"/>
        </w:rPr>
        <w:t>c</w:t>
      </w:r>
      <w:r w:rsidRPr="009A3522" w:rsidR="00401875">
        <w:rPr>
          <w:lang w:val="en-GB"/>
        </w:rPr>
        <w:t xml:space="preserve">alls on municipal councils to </w:t>
      </w:r>
      <w:r w:rsidRPr="009A3522" w:rsidR="00EF0D0B">
        <w:rPr>
          <w:lang w:val="en-GB"/>
        </w:rPr>
        <w:t xml:space="preserve">promote and facilitate </w:t>
      </w:r>
      <w:r w:rsidRPr="009A3522" w:rsidR="00401875">
        <w:rPr>
          <w:lang w:val="en-GB"/>
        </w:rPr>
        <w:t xml:space="preserve">urban design strategies </w:t>
      </w:r>
      <w:r w:rsidRPr="009A3522" w:rsidR="00794865">
        <w:rPr>
          <w:lang w:val="en-GB"/>
        </w:rPr>
        <w:t xml:space="preserve">that </w:t>
      </w:r>
      <w:r w:rsidRPr="009A3522" w:rsidR="00401875">
        <w:rPr>
          <w:lang w:val="en-GB"/>
        </w:rPr>
        <w:t xml:space="preserve">can create walking-friendly and cycling-friendly </w:t>
      </w:r>
      <w:r w:rsidRPr="009A3522" w:rsidR="00EF0D0B">
        <w:rPr>
          <w:lang w:val="en-GB"/>
        </w:rPr>
        <w:t xml:space="preserve">communities </w:t>
      </w:r>
      <w:r w:rsidRPr="009A3522" w:rsidR="00401875">
        <w:rPr>
          <w:lang w:val="en-GB"/>
        </w:rPr>
        <w:t xml:space="preserve">with </w:t>
      </w:r>
      <w:r w:rsidRPr="009A3522" w:rsidR="00EF0D0B">
        <w:rPr>
          <w:lang w:val="en-GB"/>
        </w:rPr>
        <w:t xml:space="preserve">safe, attractive and </w:t>
      </w:r>
      <w:r w:rsidRPr="009A3522" w:rsidR="00401875">
        <w:rPr>
          <w:lang w:val="en-GB"/>
        </w:rPr>
        <w:t>accessible public open spaces, which are associated with reduced non-communicable disease risk</w:t>
      </w:r>
      <w:r w:rsidRPr="009A3522" w:rsidR="00EF0D0B">
        <w:rPr>
          <w:lang w:val="en-GB"/>
        </w:rPr>
        <w:t xml:space="preserve"> and as an investment in public health</w:t>
      </w:r>
      <w:r w:rsidRPr="009A3522" w:rsidR="00401875">
        <w:rPr>
          <w:lang w:val="en-GB"/>
        </w:rPr>
        <w:t>;</w:t>
      </w:r>
    </w:p>
    <w:p w:rsidRPr="009A3522" w:rsidR="00401875" w:rsidP="001560D2" w:rsidRDefault="00401875" w14:paraId="04EC8647" w14:textId="4D90E76B">
      <w:pPr>
        <w:pStyle w:val="Heading1"/>
        <w:keepNext/>
        <w:keepLines/>
        <w:numPr>
          <w:ilvl w:val="0"/>
          <w:numId w:val="0"/>
        </w:numPr>
        <w:ind w:left="567"/>
        <w:rPr>
          <w:lang w:val="en-GB"/>
        </w:rPr>
      </w:pPr>
    </w:p>
    <w:p w:rsidR="00EE1396" w:rsidP="00EE1396" w:rsidRDefault="00A511DF" w14:paraId="4B0AE264" w14:textId="09C428AF">
      <w:pPr>
        <w:pStyle w:val="Heading1"/>
        <w:rPr>
          <w:lang w:val="en-GB"/>
        </w:rPr>
      </w:pPr>
      <w:r w:rsidRPr="009A3522">
        <w:rPr>
          <w:lang w:val="en-GB"/>
        </w:rPr>
        <w:t>e</w:t>
      </w:r>
      <w:r w:rsidRPr="009A3522" w:rsidR="00401875">
        <w:rPr>
          <w:lang w:val="en-GB"/>
        </w:rPr>
        <w:t>mphasi</w:t>
      </w:r>
      <w:r w:rsidRPr="009A3522" w:rsidR="00794865">
        <w:rPr>
          <w:lang w:val="en-GB"/>
        </w:rPr>
        <w:t>s</w:t>
      </w:r>
      <w:r w:rsidRPr="009A3522" w:rsidR="00401875">
        <w:rPr>
          <w:lang w:val="en-GB"/>
        </w:rPr>
        <w:t>es that easy access to frequent</w:t>
      </w:r>
      <w:r w:rsidRPr="009A3522" w:rsidR="00970CBF">
        <w:rPr>
          <w:lang w:val="en-GB"/>
        </w:rPr>
        <w:t xml:space="preserve"> and efficient</w:t>
      </w:r>
      <w:r w:rsidRPr="009A3522" w:rsidR="00401875">
        <w:rPr>
          <w:lang w:val="en-GB"/>
        </w:rPr>
        <w:t xml:space="preserve"> public transport is a key </w:t>
      </w:r>
      <w:r w:rsidRPr="009A3522" w:rsidR="00970CBF">
        <w:rPr>
          <w:lang w:val="en-GB"/>
        </w:rPr>
        <w:t xml:space="preserve">factor </w:t>
      </w:r>
      <w:r w:rsidRPr="009A3522" w:rsidR="00401875">
        <w:rPr>
          <w:lang w:val="en-GB"/>
        </w:rPr>
        <w:t>of healthy and sustainable living, calls for support program</w:t>
      </w:r>
      <w:r w:rsidRPr="009A3522" w:rsidR="004E20DF">
        <w:rPr>
          <w:lang w:val="en-GB"/>
        </w:rPr>
        <w:t>me</w:t>
      </w:r>
      <w:r w:rsidRPr="009A3522" w:rsidR="00401875">
        <w:rPr>
          <w:lang w:val="en-GB"/>
        </w:rPr>
        <w:t xml:space="preserve">s for free or </w:t>
      </w:r>
      <w:r w:rsidRPr="009A3522" w:rsidR="002C16C5">
        <w:rPr>
          <w:lang w:val="en-GB"/>
        </w:rPr>
        <w:t xml:space="preserve">discounted </w:t>
      </w:r>
      <w:r w:rsidRPr="009A3522" w:rsidR="00401875">
        <w:rPr>
          <w:lang w:val="en-GB"/>
        </w:rPr>
        <w:t>public transport, which could reduce car traffic, reduce noise levels and environmental pollution</w:t>
      </w:r>
      <w:r w:rsidRPr="009A3522" w:rsidR="00F75A5B">
        <w:rPr>
          <w:lang w:val="en-GB"/>
        </w:rPr>
        <w:t>;</w:t>
      </w:r>
    </w:p>
    <w:p w:rsidR="00DB0640" w:rsidP="00DB0640" w:rsidRDefault="00DB0640" w14:paraId="45597B92" w14:textId="14E65A25">
      <w:pPr>
        <w:rPr>
          <w:lang w:val="en-GB"/>
        </w:rPr>
      </w:pPr>
    </w:p>
    <w:p w:rsidRPr="00DB0640" w:rsidR="00DB0640" w:rsidRDefault="00DE4698" w14:paraId="641D0991" w14:textId="3086C3CC">
      <w:pPr>
        <w:pStyle w:val="Heading1"/>
        <w:rPr>
          <w:lang w:val="en-GB"/>
        </w:rPr>
      </w:pPr>
      <w:r w:rsidRPr="00DE4698">
        <w:rPr>
          <w:lang w:val="en-GB"/>
        </w:rPr>
        <w:t>highlights the importance of promoting age-friendly cities to create appropriate surroundings and services that enable active ageing and therefore contribute to improving the relationship between the environment and the people who live there, regardless of their age;</w:t>
      </w:r>
    </w:p>
    <w:p w:rsidRPr="009A3522" w:rsidR="00F367F6" w:rsidP="001C6AA9" w:rsidRDefault="00F367F6" w14:paraId="329C40A5" w14:textId="77777777">
      <w:pPr>
        <w:rPr>
          <w:lang w:val="en-GB"/>
        </w:rPr>
      </w:pPr>
    </w:p>
    <w:p w:rsidRPr="009A3522" w:rsidR="00970CBF" w:rsidP="00D819CF" w:rsidRDefault="00A511DF" w14:paraId="63E088A1" w14:textId="7A40786C">
      <w:pPr>
        <w:pStyle w:val="Heading1"/>
        <w:keepNext/>
        <w:keepLines/>
        <w:rPr>
          <w:lang w:val="en-GB"/>
        </w:rPr>
      </w:pPr>
      <w:r w:rsidRPr="009A3522">
        <w:rPr>
          <w:lang w:val="en-GB"/>
        </w:rPr>
        <w:t>c</w:t>
      </w:r>
      <w:r w:rsidRPr="009A3522" w:rsidR="00401875">
        <w:rPr>
          <w:lang w:val="en-GB"/>
        </w:rPr>
        <w:t xml:space="preserve">alls on EU mayors to </w:t>
      </w:r>
      <w:r w:rsidRPr="009A3522" w:rsidR="00F446B5">
        <w:rPr>
          <w:lang w:val="en-GB"/>
        </w:rPr>
        <w:t>refer to</w:t>
      </w:r>
      <w:r w:rsidRPr="009A3522" w:rsidR="00401875">
        <w:rPr>
          <w:lang w:val="en-GB"/>
        </w:rPr>
        <w:t xml:space="preserve"> the concept of a 15-minute city</w:t>
      </w:r>
      <w:r w:rsidRPr="009A3522" w:rsidR="00FB6171">
        <w:rPr>
          <w:rStyle w:val="FootnoteReference"/>
          <w:lang w:val="en-GB"/>
        </w:rPr>
        <w:footnoteReference w:id="4"/>
      </w:r>
      <w:r w:rsidRPr="009A3522" w:rsidR="00401875">
        <w:rPr>
          <w:lang w:val="en-GB"/>
        </w:rPr>
        <w:t>, wh</w:t>
      </w:r>
      <w:r w:rsidRPr="009A3522" w:rsidR="00970CBF">
        <w:rPr>
          <w:lang w:val="en-GB"/>
        </w:rPr>
        <w:t>ose</w:t>
      </w:r>
      <w:r w:rsidRPr="009A3522" w:rsidR="00401875">
        <w:rPr>
          <w:lang w:val="en-GB"/>
        </w:rPr>
        <w:t xml:space="preserve"> primary objective is to give people access to basic </w:t>
      </w:r>
      <w:r w:rsidRPr="009A3522" w:rsidR="00970CBF">
        <w:rPr>
          <w:lang w:val="en-GB"/>
        </w:rPr>
        <w:t xml:space="preserve">services and facilities </w:t>
      </w:r>
      <w:r w:rsidRPr="009A3522" w:rsidR="00401875">
        <w:rPr>
          <w:lang w:val="en-GB"/>
        </w:rPr>
        <w:t xml:space="preserve">(e.g. schools, shops, sport facilities, etc.) within </w:t>
      </w:r>
      <w:r w:rsidRPr="009A3522" w:rsidR="002C16C5">
        <w:rPr>
          <w:lang w:val="en-GB"/>
        </w:rPr>
        <w:t xml:space="preserve">a </w:t>
      </w:r>
      <w:r w:rsidRPr="009A3522" w:rsidR="00401875">
        <w:rPr>
          <w:lang w:val="en-GB"/>
        </w:rPr>
        <w:t xml:space="preserve">15-minute walking or cycling distance; recommends in this regard to learn from pioneer </w:t>
      </w:r>
      <w:r w:rsidRPr="009A3522" w:rsidR="00F96AF0">
        <w:rPr>
          <w:lang w:val="en-GB"/>
        </w:rPr>
        <w:t>cities and</w:t>
      </w:r>
      <w:r w:rsidRPr="009A3522" w:rsidR="00401875">
        <w:rPr>
          <w:lang w:val="en-GB"/>
        </w:rPr>
        <w:t xml:space="preserve"> to make use of the practitioners</w:t>
      </w:r>
      <w:r w:rsidRPr="009A3522" w:rsidR="002C16C5">
        <w:rPr>
          <w:lang w:val="en-GB"/>
        </w:rPr>
        <w:t>'</w:t>
      </w:r>
      <w:r w:rsidRPr="009A3522" w:rsidR="00401875">
        <w:rPr>
          <w:lang w:val="en-GB"/>
        </w:rPr>
        <w:t xml:space="preserve"> roadmap to implementation;</w:t>
      </w:r>
    </w:p>
    <w:p w:rsidRPr="009A3522" w:rsidR="00F367F6" w:rsidP="001C6AA9" w:rsidRDefault="00F367F6" w14:paraId="5A450C19" w14:textId="77777777">
      <w:pPr>
        <w:rPr>
          <w:lang w:val="en-GB"/>
        </w:rPr>
      </w:pPr>
    </w:p>
    <w:p w:rsidRPr="009A3522" w:rsidR="00401875" w:rsidP="00360894" w:rsidRDefault="00401875" w14:paraId="17479C5F" w14:textId="75E1B8A5">
      <w:pPr>
        <w:keepNext/>
        <w:keepLines/>
        <w:rPr>
          <w:b/>
          <w:bCs/>
          <w:lang w:val="en-GB"/>
        </w:rPr>
      </w:pPr>
      <w:r w:rsidRPr="009A3522">
        <w:rPr>
          <w:b/>
          <w:bCs/>
          <w:lang w:val="en-GB"/>
        </w:rPr>
        <w:t xml:space="preserve">Urban green spaces and health </w:t>
      </w:r>
    </w:p>
    <w:p w:rsidRPr="009A3522" w:rsidR="00F75A5B" w:rsidP="00360894" w:rsidRDefault="00F75A5B" w14:paraId="6F758029" w14:textId="77777777">
      <w:pPr>
        <w:keepNext/>
        <w:keepLines/>
        <w:rPr>
          <w:b/>
          <w:bCs/>
          <w:lang w:val="en-GB"/>
        </w:rPr>
      </w:pPr>
    </w:p>
    <w:p w:rsidRPr="009A3522" w:rsidR="00EE1396" w:rsidP="00EE1396" w:rsidRDefault="00970CBF" w14:paraId="643E79DA" w14:textId="77777777">
      <w:pPr>
        <w:pStyle w:val="Heading1"/>
        <w:rPr>
          <w:lang w:val="en-GB"/>
        </w:rPr>
      </w:pPr>
      <w:r w:rsidRPr="009A3522">
        <w:rPr>
          <w:lang w:val="en-GB"/>
        </w:rPr>
        <w:t xml:space="preserve">recalls </w:t>
      </w:r>
      <w:r w:rsidRPr="009A3522" w:rsidR="00401875">
        <w:rPr>
          <w:lang w:val="en-GB"/>
        </w:rPr>
        <w:t>the 2016 WHO report evaluating benefits of urban green areas, such as parks, playgrounds, and residential greenery and highlighting their importance for both mental and physical health. These areas reduce morbidity and mortality in urban residents by providing psychological relaxation and stress alleviation, stimulating social cohesion, supporting physical activity and reducing exposure to air pollutants, noise and excessive heat</w:t>
      </w:r>
      <w:r w:rsidRPr="001560D2" w:rsidR="00A106BA">
        <w:rPr>
          <w:b/>
          <w:bCs/>
          <w:i/>
          <w:lang w:val="en-GB"/>
        </w:rPr>
        <w:t xml:space="preserve">. </w:t>
      </w:r>
      <w:r w:rsidRPr="001560D2" w:rsidR="00A106BA">
        <w:rPr>
          <w:iCs/>
          <w:lang w:val="en-GB"/>
        </w:rPr>
        <w:t>Sustainable urban planning needs to support good access to green spaces, which should be available and accessible for all</w:t>
      </w:r>
      <w:r w:rsidRPr="009A3522" w:rsidR="00401875">
        <w:rPr>
          <w:lang w:val="en-GB"/>
        </w:rPr>
        <w:t>;</w:t>
      </w:r>
    </w:p>
    <w:p w:rsidRPr="009A3522" w:rsidR="00F367F6" w:rsidP="001C6AA9" w:rsidRDefault="00F367F6" w14:paraId="74371D23" w14:textId="77777777">
      <w:pPr>
        <w:rPr>
          <w:lang w:val="en-GB"/>
        </w:rPr>
      </w:pPr>
    </w:p>
    <w:p w:rsidRPr="009A3522" w:rsidR="00EE1396" w:rsidP="00EE1396" w:rsidRDefault="004D4F98" w14:paraId="05E809EA" w14:textId="4DE53E20">
      <w:pPr>
        <w:pStyle w:val="Heading1"/>
        <w:rPr>
          <w:lang w:val="en-GB"/>
        </w:rPr>
      </w:pPr>
      <w:r w:rsidRPr="009A3522">
        <w:rPr>
          <w:lang w:val="en-GB"/>
        </w:rPr>
        <w:t>t</w:t>
      </w:r>
      <w:r w:rsidRPr="009A3522" w:rsidR="00401875">
        <w:rPr>
          <w:lang w:val="en-GB"/>
        </w:rPr>
        <w:t>herefore, requests cooperation between urban and rural local authorities in terms of mutual accessibility of cultural</w:t>
      </w:r>
      <w:r w:rsidRPr="009A3522">
        <w:rPr>
          <w:lang w:val="en-GB"/>
        </w:rPr>
        <w:t xml:space="preserve"> and</w:t>
      </w:r>
      <w:r w:rsidRPr="009A3522" w:rsidR="00401875">
        <w:rPr>
          <w:lang w:val="en-GB"/>
        </w:rPr>
        <w:t xml:space="preserve"> sports facilities and green areas and greater integration of rural and urban residents;</w:t>
      </w:r>
    </w:p>
    <w:p w:rsidRPr="009A3522" w:rsidR="00F367F6" w:rsidP="001C6AA9" w:rsidRDefault="00F367F6" w14:paraId="50A36392" w14:textId="77777777">
      <w:pPr>
        <w:rPr>
          <w:lang w:val="en-GB"/>
        </w:rPr>
      </w:pPr>
    </w:p>
    <w:p w:rsidR="001363AB" w:rsidP="00EE1396" w:rsidRDefault="00970CBF" w14:paraId="3A5BE844" w14:textId="0C1C294A">
      <w:pPr>
        <w:pStyle w:val="Heading1"/>
        <w:rPr>
          <w:lang w:val="en-GB"/>
        </w:rPr>
      </w:pPr>
      <w:r w:rsidRPr="009A3522">
        <w:rPr>
          <w:lang w:val="en-GB"/>
        </w:rPr>
        <w:t xml:space="preserve">points </w:t>
      </w:r>
      <w:r w:rsidRPr="009A3522" w:rsidR="00401875">
        <w:rPr>
          <w:lang w:val="en-GB"/>
        </w:rPr>
        <w:t>out that improving access to green spaces in cities is part of United Nations Sustainable Development Goal 11.7</w:t>
      </w:r>
      <w:r w:rsidRPr="009A3522" w:rsidR="003E164D">
        <w:rPr>
          <w:lang w:val="en-GB"/>
        </w:rPr>
        <w:t xml:space="preserve">; </w:t>
      </w:r>
      <w:r w:rsidRPr="00141297" w:rsidR="00141297">
        <w:rPr>
          <w:lang w:val="en-GB"/>
        </w:rPr>
        <w:t>In this regard, highlights the WHO 2021 report</w:t>
      </w:r>
      <w:r w:rsidR="00DD11FC">
        <w:rPr>
          <w:rStyle w:val="FootnoteReference"/>
          <w:lang w:val="en-GB"/>
        </w:rPr>
        <w:footnoteReference w:id="5"/>
      </w:r>
      <w:r w:rsidRPr="00141297" w:rsidR="00141297">
        <w:rPr>
          <w:lang w:val="en-GB"/>
        </w:rPr>
        <w:t xml:space="preserve"> and its findings that most green space types yield positive effects on both short-term and long-term mental health outcomes</w:t>
      </w:r>
      <w:r w:rsidR="00864674">
        <w:rPr>
          <w:lang w:val="en-GB"/>
        </w:rPr>
        <w:t>;</w:t>
      </w:r>
    </w:p>
    <w:p w:rsidRPr="00F940B1" w:rsidR="00970CBF" w:rsidP="00F940B1" w:rsidRDefault="00970CBF" w14:paraId="04E52B73" w14:textId="4D95206D">
      <w:pPr>
        <w:pStyle w:val="Heading1"/>
        <w:numPr>
          <w:ilvl w:val="0"/>
          <w:numId w:val="0"/>
        </w:numPr>
        <w:rPr>
          <w:lang w:val="en-GB"/>
        </w:rPr>
      </w:pPr>
    </w:p>
    <w:p w:rsidRPr="009A3522" w:rsidR="00401875" w:rsidP="00360894" w:rsidRDefault="00401875" w14:paraId="3F8CAE5A" w14:textId="2FA90BA8">
      <w:pPr>
        <w:keepNext/>
        <w:keepLines/>
        <w:rPr>
          <w:b/>
          <w:bCs/>
          <w:lang w:val="en-GB"/>
        </w:rPr>
      </w:pPr>
      <w:r w:rsidRPr="009A3522">
        <w:rPr>
          <w:b/>
          <w:bCs/>
          <w:lang w:val="en-GB"/>
        </w:rPr>
        <w:t>Alcohol</w:t>
      </w:r>
      <w:r w:rsidR="00AE2CDB">
        <w:rPr>
          <w:b/>
          <w:bCs/>
          <w:lang w:val="en-GB"/>
        </w:rPr>
        <w:t>,</w:t>
      </w:r>
      <w:r w:rsidRPr="009A3522">
        <w:rPr>
          <w:b/>
          <w:bCs/>
          <w:lang w:val="en-GB"/>
        </w:rPr>
        <w:t xml:space="preserve"> </w:t>
      </w:r>
      <w:r w:rsidRPr="009A3522" w:rsidR="00970CBF">
        <w:rPr>
          <w:b/>
          <w:bCs/>
          <w:lang w:val="en-GB"/>
        </w:rPr>
        <w:t>tobacco</w:t>
      </w:r>
      <w:r w:rsidR="00AE2CDB">
        <w:rPr>
          <w:b/>
          <w:bCs/>
          <w:lang w:val="en-GB"/>
        </w:rPr>
        <w:t xml:space="preserve"> and drugs</w:t>
      </w:r>
    </w:p>
    <w:p w:rsidRPr="009A3522" w:rsidR="00A418F8" w:rsidP="00360894" w:rsidRDefault="00A418F8" w14:paraId="2E61B318" w14:textId="4C3184B7">
      <w:pPr>
        <w:keepNext/>
        <w:keepLines/>
        <w:rPr>
          <w:lang w:val="en-GB"/>
        </w:rPr>
      </w:pPr>
    </w:p>
    <w:p w:rsidRPr="009A3522" w:rsidR="00EE1396" w:rsidP="00EE1396" w:rsidRDefault="004D4F98" w14:paraId="231666C9" w14:textId="77777777">
      <w:pPr>
        <w:pStyle w:val="Heading1"/>
        <w:rPr>
          <w:lang w:val="en-GB"/>
        </w:rPr>
      </w:pPr>
      <w:r w:rsidRPr="009A3522">
        <w:rPr>
          <w:lang w:val="en-GB"/>
        </w:rPr>
        <w:t xml:space="preserve">points out </w:t>
      </w:r>
      <w:r w:rsidRPr="009A3522" w:rsidR="00401875">
        <w:rPr>
          <w:lang w:val="en-GB"/>
        </w:rPr>
        <w:t xml:space="preserve">that alcohol-related harm is </w:t>
      </w:r>
      <w:r w:rsidRPr="009A3522">
        <w:rPr>
          <w:lang w:val="en-GB"/>
        </w:rPr>
        <w:t xml:space="preserve">a </w:t>
      </w:r>
      <w:r w:rsidRPr="009A3522" w:rsidR="00401875">
        <w:rPr>
          <w:lang w:val="en-GB"/>
        </w:rPr>
        <w:t>public health issue in the European Union</w:t>
      </w:r>
      <w:r w:rsidRPr="001560D2" w:rsidR="00A106BA">
        <w:rPr>
          <w:lang w:val="en-GB"/>
        </w:rPr>
        <w:t xml:space="preserve"> </w:t>
      </w:r>
      <w:r w:rsidRPr="009A3522" w:rsidR="00A106BA">
        <w:rPr>
          <w:lang w:val="en-GB"/>
        </w:rPr>
        <w:t>and reiterates the importance of promoting awareness-raising campaigns about the impacts of drinking and driving</w:t>
      </w:r>
      <w:r w:rsidRPr="009A3522" w:rsidR="00E41505">
        <w:rPr>
          <w:lang w:val="en-GB"/>
        </w:rPr>
        <w:t>;</w:t>
      </w:r>
      <w:r w:rsidRPr="009A3522" w:rsidR="00401875">
        <w:rPr>
          <w:lang w:val="en-GB"/>
        </w:rPr>
        <w:t xml:space="preserve"> </w:t>
      </w:r>
    </w:p>
    <w:p w:rsidRPr="009A3522" w:rsidR="003E164D" w:rsidP="00360894" w:rsidRDefault="003E164D" w14:paraId="67BBDE17" w14:textId="77777777">
      <w:pPr>
        <w:keepNext/>
        <w:keepLines/>
        <w:rPr>
          <w:lang w:val="en-GB"/>
        </w:rPr>
      </w:pPr>
    </w:p>
    <w:p w:rsidRPr="009A3522" w:rsidR="00EE1396" w:rsidP="00EE1396" w:rsidRDefault="00970CBF" w14:paraId="15D5AE40" w14:textId="77777777">
      <w:pPr>
        <w:pStyle w:val="Heading1"/>
        <w:rPr>
          <w:lang w:val="en-GB"/>
        </w:rPr>
      </w:pPr>
      <w:r w:rsidRPr="009A3522">
        <w:rPr>
          <w:lang w:val="en-GB"/>
        </w:rPr>
        <w:t xml:space="preserve">highlights </w:t>
      </w:r>
      <w:r w:rsidRPr="009A3522" w:rsidR="00401875">
        <w:rPr>
          <w:lang w:val="en-GB"/>
        </w:rPr>
        <w:t>that</w:t>
      </w:r>
      <w:r w:rsidRPr="009A3522" w:rsidR="00A418F8">
        <w:rPr>
          <w:lang w:val="en-GB"/>
        </w:rPr>
        <w:t xml:space="preserve"> </w:t>
      </w:r>
      <w:r w:rsidRPr="009A3522" w:rsidR="00401875">
        <w:rPr>
          <w:lang w:val="en-GB"/>
        </w:rPr>
        <w:t>policies regulating alcohol consumption remain a national competence; nonetheless local authorities can also play their role in limiting access</w:t>
      </w:r>
      <w:r w:rsidRPr="009A3522" w:rsidR="00E41505">
        <w:rPr>
          <w:lang w:val="en-GB"/>
        </w:rPr>
        <w:t xml:space="preserve"> to </w:t>
      </w:r>
      <w:r w:rsidRPr="009A3522" w:rsidR="004D4F98">
        <w:rPr>
          <w:lang w:val="en-GB"/>
        </w:rPr>
        <w:t xml:space="preserve">the </w:t>
      </w:r>
      <w:r w:rsidRPr="009A3522" w:rsidR="00E41505">
        <w:rPr>
          <w:lang w:val="en-GB"/>
        </w:rPr>
        <w:t>young</w:t>
      </w:r>
      <w:r w:rsidRPr="009A3522" w:rsidR="004D4F98">
        <w:rPr>
          <w:lang w:val="en-GB"/>
        </w:rPr>
        <w:t>er</w:t>
      </w:r>
      <w:r w:rsidRPr="009A3522" w:rsidR="00E41505">
        <w:rPr>
          <w:lang w:val="en-GB"/>
        </w:rPr>
        <w:t xml:space="preserve"> generation especially</w:t>
      </w:r>
      <w:r w:rsidRPr="009A3522" w:rsidR="00401875">
        <w:rPr>
          <w:lang w:val="en-GB"/>
        </w:rPr>
        <w:t xml:space="preserve">; </w:t>
      </w:r>
    </w:p>
    <w:p w:rsidRPr="009A3522" w:rsidR="00E41505" w:rsidRDefault="00E41505" w14:paraId="0D187D8C" w14:textId="77777777">
      <w:pPr>
        <w:pStyle w:val="Heading1"/>
        <w:numPr>
          <w:ilvl w:val="0"/>
          <w:numId w:val="0"/>
        </w:numPr>
        <w:rPr>
          <w:lang w:val="en-GB"/>
        </w:rPr>
      </w:pPr>
    </w:p>
    <w:p w:rsidRPr="009A3522" w:rsidR="00EE1396" w:rsidP="00EE1396" w:rsidRDefault="00970CBF" w14:paraId="5AEF3911" w14:textId="376E938C">
      <w:pPr>
        <w:pStyle w:val="Heading1"/>
        <w:rPr>
          <w:lang w:val="en-GB"/>
        </w:rPr>
      </w:pPr>
      <w:r w:rsidRPr="009A3522">
        <w:rPr>
          <w:lang w:val="en-GB"/>
        </w:rPr>
        <w:t xml:space="preserve">calls </w:t>
      </w:r>
      <w:r w:rsidRPr="009A3522" w:rsidR="00401875">
        <w:rPr>
          <w:lang w:val="en-GB"/>
        </w:rPr>
        <w:t xml:space="preserve">on local </w:t>
      </w:r>
      <w:r w:rsidR="00AE2CDB">
        <w:rPr>
          <w:lang w:val="en-GB"/>
        </w:rPr>
        <w:t xml:space="preserve">and regional </w:t>
      </w:r>
      <w:r w:rsidRPr="009A3522" w:rsidR="00401875">
        <w:rPr>
          <w:lang w:val="en-GB"/>
        </w:rPr>
        <w:t>authorities to consider</w:t>
      </w:r>
      <w:r w:rsidRPr="009A3522" w:rsidR="003E164D">
        <w:rPr>
          <w:lang w:val="en-GB"/>
        </w:rPr>
        <w:t xml:space="preserve"> </w:t>
      </w:r>
      <w:r w:rsidRPr="009A3522" w:rsidR="00401875">
        <w:rPr>
          <w:lang w:val="en-GB"/>
        </w:rPr>
        <w:t xml:space="preserve">other specific measures </w:t>
      </w:r>
      <w:r w:rsidRPr="009A3522">
        <w:rPr>
          <w:lang w:val="en-GB"/>
        </w:rPr>
        <w:t>to promote safe and responsible consumption of alcohol through</w:t>
      </w:r>
      <w:r w:rsidRPr="009A3522" w:rsidR="00253FE2">
        <w:rPr>
          <w:lang w:val="en-GB"/>
        </w:rPr>
        <w:t xml:space="preserve"> school awareness-raising campaigns</w:t>
      </w:r>
      <w:r w:rsidRPr="009A3522" w:rsidR="00401875">
        <w:rPr>
          <w:lang w:val="en-GB"/>
        </w:rPr>
        <w:t>;</w:t>
      </w:r>
    </w:p>
    <w:p w:rsidRPr="009A3522" w:rsidR="003F2F42" w:rsidP="007C5583" w:rsidRDefault="003F2F42" w14:paraId="17485A56" w14:textId="77777777">
      <w:pPr>
        <w:rPr>
          <w:lang w:val="en-GB"/>
        </w:rPr>
      </w:pPr>
    </w:p>
    <w:p w:rsidR="00EE1396" w:rsidP="00EE1396" w:rsidRDefault="005E7EE9" w14:paraId="28A234A6" w14:textId="3D475E27">
      <w:pPr>
        <w:pStyle w:val="Heading1"/>
        <w:rPr>
          <w:lang w:val="en-GB"/>
        </w:rPr>
      </w:pPr>
      <w:r w:rsidRPr="009A3522">
        <w:rPr>
          <w:lang w:val="en-GB"/>
        </w:rPr>
        <w:t>highlights the crucial role of local and regional authorities in contributing to the fight against drug trafficking through prevention, harm reduction and treatment policies;</w:t>
      </w:r>
      <w:r w:rsidR="006D628B">
        <w:rPr>
          <w:lang w:val="en-GB"/>
        </w:rPr>
        <w:t xml:space="preserve"> </w:t>
      </w:r>
      <w:r w:rsidRPr="006D628B" w:rsidR="006D628B">
        <w:rPr>
          <w:lang w:val="en-GB"/>
        </w:rPr>
        <w:t>welcomes the Commission's communication on the EU Roadmap to Fight Drug Trafficking and Organised Crime</w:t>
      </w:r>
      <w:r w:rsidR="006D628B">
        <w:rPr>
          <w:rStyle w:val="FootnoteReference"/>
          <w:lang w:val="en-GB"/>
        </w:rPr>
        <w:footnoteReference w:id="6"/>
      </w:r>
      <w:r w:rsidRPr="006D628B" w:rsidR="006D628B">
        <w:rPr>
          <w:lang w:val="en-GB"/>
        </w:rPr>
        <w:t xml:space="preserve"> and in particular its action 13 on public safety and public health in areas affected by the use and sale of drugs and drug-related crime; wishes to be part of the 2024 high-level conference to discuss best practice examples from local and regional level; </w:t>
      </w:r>
    </w:p>
    <w:p w:rsidR="006B3311" w:rsidP="006B3311" w:rsidRDefault="006B3311" w14:paraId="75F3E591" w14:textId="28BADEFE">
      <w:pPr>
        <w:rPr>
          <w:lang w:val="en-GB"/>
        </w:rPr>
      </w:pPr>
    </w:p>
    <w:p w:rsidRPr="006B3311" w:rsidR="006B3311" w:rsidRDefault="006B3311" w14:paraId="24097EBB" w14:textId="5950344C">
      <w:pPr>
        <w:pStyle w:val="Heading1"/>
        <w:rPr>
          <w:lang w:val="en-GB"/>
        </w:rPr>
      </w:pPr>
      <w:r w:rsidRPr="006B3311">
        <w:rPr>
          <w:lang w:val="en-GB"/>
        </w:rPr>
        <w:t>draws attention to the sobering European Drug report 2023</w:t>
      </w:r>
      <w:r>
        <w:rPr>
          <w:rStyle w:val="FootnoteReference"/>
          <w:lang w:val="en-GB"/>
        </w:rPr>
        <w:footnoteReference w:id="7"/>
      </w:r>
      <w:r w:rsidRPr="006B3311">
        <w:rPr>
          <w:lang w:val="en-GB"/>
        </w:rPr>
        <w:t xml:space="preserve"> and its conclusions that illicit drugs have a significant impact on European health and security; calls for more funding for local and regional substance use prevention and harm reduction programmes;</w:t>
      </w:r>
    </w:p>
    <w:p w:rsidRPr="009A3522" w:rsidR="005E7EE9" w:rsidP="00401875" w:rsidRDefault="005E7EE9" w14:paraId="474A3848" w14:textId="77777777">
      <w:pPr>
        <w:rPr>
          <w:lang w:val="en-GB"/>
        </w:rPr>
      </w:pPr>
    </w:p>
    <w:p w:rsidRPr="009A3522" w:rsidR="00EE1396" w:rsidP="00EE1396" w:rsidRDefault="00495B9D" w14:paraId="7408D010" w14:textId="6DABACC9">
      <w:pPr>
        <w:pStyle w:val="Heading1"/>
        <w:rPr>
          <w:lang w:val="en-GB"/>
        </w:rPr>
      </w:pPr>
      <w:r w:rsidRPr="009A3522">
        <w:rPr>
          <w:lang w:val="en-GB"/>
        </w:rPr>
        <w:t xml:space="preserve">calls for an active role of local governments in making </w:t>
      </w:r>
      <w:r w:rsidRPr="009A3522" w:rsidR="003E1DB3">
        <w:rPr>
          <w:lang w:val="en-GB"/>
        </w:rPr>
        <w:t>young people</w:t>
      </w:r>
      <w:r w:rsidRPr="009A3522">
        <w:rPr>
          <w:lang w:val="en-GB"/>
        </w:rPr>
        <w:t xml:space="preserve"> aware of the negative </w:t>
      </w:r>
      <w:r w:rsidRPr="009A3522" w:rsidR="003E1DB3">
        <w:rPr>
          <w:lang w:val="en-GB"/>
        </w:rPr>
        <w:t xml:space="preserve">health </w:t>
      </w:r>
      <w:r w:rsidRPr="009A3522">
        <w:rPr>
          <w:lang w:val="en-GB"/>
        </w:rPr>
        <w:t xml:space="preserve">impact of </w:t>
      </w:r>
      <w:r w:rsidRPr="009A3522" w:rsidR="003E1DB3">
        <w:rPr>
          <w:lang w:val="en-GB"/>
        </w:rPr>
        <w:t>both traditional and newer tobacco products, as well as those capable of releasing nicotine</w:t>
      </w:r>
      <w:r w:rsidRPr="009A3522" w:rsidR="00720EFB">
        <w:rPr>
          <w:lang w:val="en-GB"/>
        </w:rPr>
        <w:t>;</w:t>
      </w:r>
      <w:r w:rsidR="007D6544">
        <w:rPr>
          <w:lang w:val="en-GB"/>
        </w:rPr>
        <w:t xml:space="preserve"> </w:t>
      </w:r>
      <w:r w:rsidRPr="007D6544" w:rsidR="007D6544">
        <w:rPr>
          <w:lang w:val="en-GB"/>
        </w:rPr>
        <w:t>draws attention to WHO Framework Convention on Tobacco Control and the fact that tobacco use is a major risk factor for cardiovascular and respiratory diseases, over 20 different types or subtypes of cancer, and many other debilitating health conditions;</w:t>
      </w:r>
    </w:p>
    <w:p w:rsidRPr="009A3522" w:rsidR="00495B9D" w:rsidP="00401875" w:rsidRDefault="00495B9D" w14:paraId="0D3C3BFE" w14:textId="77777777">
      <w:pPr>
        <w:rPr>
          <w:lang w:val="en-GB"/>
        </w:rPr>
      </w:pPr>
    </w:p>
    <w:p w:rsidRPr="009A3522" w:rsidR="00401875" w:rsidP="00D819CF" w:rsidRDefault="00401875" w14:paraId="3FEC9287" w14:textId="73DBC955">
      <w:pPr>
        <w:keepNext/>
        <w:keepLines/>
        <w:rPr>
          <w:b/>
          <w:bCs/>
          <w:lang w:val="en-GB"/>
        </w:rPr>
      </w:pPr>
      <w:r w:rsidRPr="009A3522">
        <w:rPr>
          <w:b/>
          <w:bCs/>
          <w:lang w:val="en-GB"/>
        </w:rPr>
        <w:t>Obesity</w:t>
      </w:r>
    </w:p>
    <w:p w:rsidRPr="009A3522" w:rsidR="00A418F8" w:rsidP="00D819CF" w:rsidRDefault="00A418F8" w14:paraId="51C7A7C8" w14:textId="77777777">
      <w:pPr>
        <w:keepNext/>
        <w:keepLines/>
        <w:rPr>
          <w:b/>
          <w:bCs/>
          <w:lang w:val="en-GB"/>
        </w:rPr>
      </w:pPr>
    </w:p>
    <w:p w:rsidRPr="009A3522" w:rsidR="00EE1396" w:rsidP="00D819CF" w:rsidRDefault="00253FE2" w14:paraId="09D5EC44" w14:textId="77777777">
      <w:pPr>
        <w:pStyle w:val="Heading1"/>
        <w:keepNext/>
        <w:keepLines/>
        <w:rPr>
          <w:lang w:val="en-GB"/>
        </w:rPr>
      </w:pPr>
      <w:r w:rsidRPr="009A3522">
        <w:rPr>
          <w:lang w:val="en-GB"/>
        </w:rPr>
        <w:t>f</w:t>
      </w:r>
      <w:r w:rsidRPr="009A3522" w:rsidR="00401875">
        <w:rPr>
          <w:lang w:val="en-GB"/>
        </w:rPr>
        <w:t xml:space="preserve">inds it worrisome that over the half of </w:t>
      </w:r>
      <w:r w:rsidRPr="009A3522" w:rsidR="00720EFB">
        <w:rPr>
          <w:lang w:val="en-GB"/>
        </w:rPr>
        <w:t xml:space="preserve">the </w:t>
      </w:r>
      <w:r w:rsidRPr="009A3522" w:rsidR="00401875">
        <w:rPr>
          <w:lang w:val="en-GB"/>
        </w:rPr>
        <w:t>EU</w:t>
      </w:r>
      <w:r w:rsidRPr="009A3522" w:rsidR="00720EFB">
        <w:rPr>
          <w:lang w:val="en-GB"/>
        </w:rPr>
        <w:t>'s</w:t>
      </w:r>
      <w:r w:rsidRPr="009A3522" w:rsidR="00401875">
        <w:rPr>
          <w:lang w:val="en-GB"/>
        </w:rPr>
        <w:t xml:space="preserve"> adult population is overweight or obese (BMI exceeding 25); warns that the rates among children are also on the rise; today 1 in 3 </w:t>
      </w:r>
      <w:r w:rsidRPr="009A3522">
        <w:rPr>
          <w:lang w:val="en-GB"/>
        </w:rPr>
        <w:t>people are</w:t>
      </w:r>
      <w:r w:rsidRPr="009A3522" w:rsidR="00401875">
        <w:rPr>
          <w:lang w:val="en-GB"/>
        </w:rPr>
        <w:t xml:space="preserve"> overweight or obes</w:t>
      </w:r>
      <w:r w:rsidRPr="009A3522">
        <w:rPr>
          <w:lang w:val="en-GB"/>
        </w:rPr>
        <w:t>e</w:t>
      </w:r>
      <w:r w:rsidRPr="009A3522" w:rsidR="00401875">
        <w:rPr>
          <w:lang w:val="en-GB"/>
        </w:rPr>
        <w:t>; stresses that these children are at greater risk of poor health in adolescence as well as in adulthood; clarifies that obesity among children is also often related to psychosocial problems;</w:t>
      </w:r>
    </w:p>
    <w:p w:rsidRPr="009A3522" w:rsidR="00F367F6" w:rsidP="001C6AA9" w:rsidRDefault="00F367F6" w14:paraId="2535A3C7" w14:textId="77777777">
      <w:pPr>
        <w:rPr>
          <w:lang w:val="en-GB"/>
        </w:rPr>
      </w:pPr>
    </w:p>
    <w:p w:rsidRPr="009A3522" w:rsidR="00EE1396" w:rsidP="00EE1396" w:rsidRDefault="00253FE2" w14:paraId="22088F92" w14:textId="65CE7E92">
      <w:pPr>
        <w:pStyle w:val="Heading1"/>
        <w:rPr>
          <w:lang w:val="en-GB"/>
        </w:rPr>
      </w:pPr>
      <w:r w:rsidRPr="009A3522">
        <w:rPr>
          <w:lang w:val="en-GB"/>
        </w:rPr>
        <w:t>c</w:t>
      </w:r>
      <w:r w:rsidRPr="009A3522" w:rsidR="00401875">
        <w:rPr>
          <w:lang w:val="en-GB"/>
        </w:rPr>
        <w:t>alls on local and regional authorities to support a healthy start in life and promote healthier environments</w:t>
      </w:r>
      <w:r w:rsidRPr="009A3522" w:rsidR="003E1DB3">
        <w:rPr>
          <w:lang w:val="en-GB"/>
        </w:rPr>
        <w:t xml:space="preserve"> and nutritious </w:t>
      </w:r>
      <w:r w:rsidR="008D13EE">
        <w:rPr>
          <w:lang w:val="en-GB"/>
        </w:rPr>
        <w:t xml:space="preserve">and sustainable </w:t>
      </w:r>
      <w:r w:rsidRPr="009A3522" w:rsidR="003E1DB3">
        <w:rPr>
          <w:lang w:val="en-GB"/>
        </w:rPr>
        <w:t>meals</w:t>
      </w:r>
      <w:r w:rsidRPr="009A3522" w:rsidR="00401875">
        <w:rPr>
          <w:lang w:val="en-GB"/>
        </w:rPr>
        <w:t>, especially in schools and pre-schools (e.g. policy of limiting access to sweetened beverages, highly processed food, especially fast food</w:t>
      </w:r>
      <w:r w:rsidRPr="009A3522">
        <w:rPr>
          <w:lang w:val="en-GB"/>
        </w:rPr>
        <w:t>,</w:t>
      </w:r>
      <w:r w:rsidRPr="009A3522" w:rsidR="00401875">
        <w:rPr>
          <w:lang w:val="en-GB"/>
        </w:rPr>
        <w:t xml:space="preserve"> and </w:t>
      </w:r>
      <w:r w:rsidRPr="009A3522">
        <w:rPr>
          <w:lang w:val="en-GB"/>
        </w:rPr>
        <w:t xml:space="preserve">promoting </w:t>
      </w:r>
      <w:r w:rsidRPr="009A3522" w:rsidR="00401875">
        <w:rPr>
          <w:lang w:val="en-GB"/>
        </w:rPr>
        <w:t>access to free drinking water</w:t>
      </w:r>
      <w:r w:rsidRPr="008D13EE" w:rsidR="008D13EE">
        <w:t xml:space="preserve"> </w:t>
      </w:r>
      <w:r w:rsidRPr="008D13EE" w:rsidR="008D13EE">
        <w:rPr>
          <w:lang w:val="en-GB"/>
        </w:rPr>
        <w:t>and the consumption of locally-sourced food</w:t>
      </w:r>
      <w:r w:rsidRPr="009A3522" w:rsidR="00401875">
        <w:rPr>
          <w:lang w:val="en-GB"/>
        </w:rPr>
        <w:t xml:space="preserve">); </w:t>
      </w:r>
    </w:p>
    <w:p w:rsidRPr="009A3522" w:rsidR="00F367F6" w:rsidP="001C6AA9" w:rsidRDefault="00F367F6" w14:paraId="7A90E0AF" w14:textId="77777777">
      <w:pPr>
        <w:rPr>
          <w:lang w:val="en-GB"/>
        </w:rPr>
      </w:pPr>
    </w:p>
    <w:p w:rsidRPr="009A3522" w:rsidR="00EE1396" w:rsidP="00EE1396" w:rsidRDefault="00253FE2" w14:paraId="7B585F43" w14:textId="13625220">
      <w:pPr>
        <w:pStyle w:val="Heading1"/>
        <w:rPr>
          <w:lang w:val="en-GB"/>
        </w:rPr>
      </w:pPr>
      <w:r w:rsidRPr="009A3522">
        <w:rPr>
          <w:lang w:val="en-GB"/>
        </w:rPr>
        <w:t xml:space="preserve">calls </w:t>
      </w:r>
      <w:r w:rsidRPr="009A3522" w:rsidR="00401875">
        <w:rPr>
          <w:lang w:val="en-GB"/>
        </w:rPr>
        <w:t xml:space="preserve">on the European Commission to prepare the successor of the 2014-2020 EU Action Plan on Childhood Obesity, including the Committee of the Regions in </w:t>
      </w:r>
      <w:r w:rsidRPr="009A3522">
        <w:rPr>
          <w:lang w:val="en-GB"/>
        </w:rPr>
        <w:t>its</w:t>
      </w:r>
      <w:r w:rsidRPr="009A3522" w:rsidR="00401875">
        <w:rPr>
          <w:lang w:val="en-GB"/>
        </w:rPr>
        <w:t xml:space="preserve"> </w:t>
      </w:r>
      <w:r w:rsidRPr="009A3522">
        <w:rPr>
          <w:lang w:val="en-GB"/>
        </w:rPr>
        <w:t xml:space="preserve">elaboration </w:t>
      </w:r>
      <w:r w:rsidRPr="009A3522" w:rsidR="00401875">
        <w:rPr>
          <w:lang w:val="en-GB"/>
        </w:rPr>
        <w:t>and delivery of this plan; calls on the Member States to take measure</w:t>
      </w:r>
      <w:r w:rsidRPr="009A3522" w:rsidR="00720EFB">
        <w:rPr>
          <w:lang w:val="en-GB"/>
        </w:rPr>
        <w:t>s</w:t>
      </w:r>
      <w:r w:rsidRPr="009A3522" w:rsidR="00401875">
        <w:rPr>
          <w:lang w:val="en-GB"/>
        </w:rPr>
        <w:t xml:space="preserve"> to promote physical activity and healthy food among </w:t>
      </w:r>
      <w:r w:rsidRPr="009A3522" w:rsidR="003E1DB3">
        <w:rPr>
          <w:lang w:val="en-GB"/>
        </w:rPr>
        <w:t xml:space="preserve">children </w:t>
      </w:r>
      <w:r w:rsidRPr="009A3522" w:rsidR="00401875">
        <w:rPr>
          <w:lang w:val="en-GB"/>
        </w:rPr>
        <w:t>and adolescents;</w:t>
      </w:r>
    </w:p>
    <w:p w:rsidRPr="009A3522" w:rsidR="007E1925" w:rsidP="001C6AA9" w:rsidRDefault="007E1925" w14:paraId="783984A4" w14:textId="77777777">
      <w:pPr>
        <w:rPr>
          <w:lang w:val="en-GB"/>
        </w:rPr>
      </w:pPr>
    </w:p>
    <w:p w:rsidRPr="009A3522" w:rsidR="00401875" w:rsidP="00360894" w:rsidRDefault="00401875" w14:paraId="2F6C2F6A" w14:textId="29043BBC">
      <w:pPr>
        <w:keepNext/>
        <w:keepLines/>
        <w:rPr>
          <w:b/>
          <w:bCs/>
          <w:lang w:val="en-GB"/>
        </w:rPr>
      </w:pPr>
      <w:r w:rsidRPr="009A3522">
        <w:rPr>
          <w:b/>
          <w:bCs/>
          <w:lang w:val="en-GB"/>
        </w:rPr>
        <w:t>Vaccination</w:t>
      </w:r>
    </w:p>
    <w:p w:rsidRPr="009A3522" w:rsidR="00A418F8" w:rsidP="00360894" w:rsidRDefault="00A418F8" w14:paraId="227470B8" w14:textId="77777777">
      <w:pPr>
        <w:keepNext/>
        <w:keepLines/>
        <w:rPr>
          <w:b/>
          <w:bCs/>
          <w:lang w:val="en-GB"/>
        </w:rPr>
      </w:pPr>
    </w:p>
    <w:p w:rsidRPr="009A3522" w:rsidR="00EE1396" w:rsidP="00EE1396" w:rsidRDefault="00253FE2" w14:paraId="0A29C782" w14:textId="77777777">
      <w:pPr>
        <w:pStyle w:val="Heading1"/>
        <w:rPr>
          <w:lang w:val="en-GB"/>
        </w:rPr>
      </w:pPr>
      <w:r w:rsidRPr="009A3522">
        <w:rPr>
          <w:lang w:val="en-GB"/>
        </w:rPr>
        <w:t>h</w:t>
      </w:r>
      <w:r w:rsidRPr="009A3522" w:rsidR="00401875">
        <w:rPr>
          <w:lang w:val="en-GB"/>
        </w:rPr>
        <w:t>ighlights that</w:t>
      </w:r>
      <w:r w:rsidRPr="009A3522" w:rsidR="00A418F8">
        <w:rPr>
          <w:lang w:val="en-GB"/>
        </w:rPr>
        <w:t xml:space="preserve"> </w:t>
      </w:r>
      <w:r w:rsidRPr="009A3522" w:rsidR="00401875">
        <w:rPr>
          <w:lang w:val="en-GB"/>
        </w:rPr>
        <w:t xml:space="preserve">vaccines have </w:t>
      </w:r>
      <w:r w:rsidRPr="009A3522" w:rsidR="000F2CDA">
        <w:rPr>
          <w:lang w:val="en-GB"/>
        </w:rPr>
        <w:t>proved</w:t>
      </w:r>
      <w:r w:rsidRPr="009A3522" w:rsidR="00401875">
        <w:rPr>
          <w:lang w:val="en-GB"/>
        </w:rPr>
        <w:t xml:space="preserve"> to be one of the most successful healthcare interventions of our time, saving countless lives, slowing down anti-microbial resistance, protecting against disease</w:t>
      </w:r>
      <w:r w:rsidRPr="009A3522">
        <w:rPr>
          <w:lang w:val="en-GB"/>
        </w:rPr>
        <w:t xml:space="preserve"> </w:t>
      </w:r>
      <w:r w:rsidRPr="009A3522" w:rsidR="00401875">
        <w:rPr>
          <w:lang w:val="en-GB"/>
        </w:rPr>
        <w:t>and secondary interventions and keeping health budgets in check;</w:t>
      </w:r>
    </w:p>
    <w:p w:rsidRPr="009A3522" w:rsidR="00F367F6" w:rsidP="001C6AA9" w:rsidRDefault="00F367F6" w14:paraId="578F1CB2" w14:textId="77777777">
      <w:pPr>
        <w:rPr>
          <w:lang w:val="en-GB"/>
        </w:rPr>
      </w:pPr>
    </w:p>
    <w:p w:rsidRPr="009A3522" w:rsidR="00EE1396" w:rsidP="00EE1396" w:rsidRDefault="00253FE2" w14:paraId="2A33EA4B" w14:textId="77777777">
      <w:pPr>
        <w:pStyle w:val="Heading1"/>
        <w:rPr>
          <w:lang w:val="en-GB"/>
        </w:rPr>
      </w:pPr>
      <w:r w:rsidRPr="009A3522">
        <w:rPr>
          <w:lang w:val="en-GB"/>
        </w:rPr>
        <w:t>p</w:t>
      </w:r>
      <w:r w:rsidRPr="009A3522" w:rsidR="00401875">
        <w:rPr>
          <w:lang w:val="en-GB"/>
        </w:rPr>
        <w:t xml:space="preserve">oints out that while vaccination calendars are typically set up at national level, local and regional authorities may contribute to the take-up of vaccines through </w:t>
      </w:r>
      <w:r w:rsidRPr="009A3522" w:rsidR="000F2CDA">
        <w:rPr>
          <w:lang w:val="en-GB"/>
        </w:rPr>
        <w:t xml:space="preserve">their </w:t>
      </w:r>
      <w:r w:rsidRPr="009A3522" w:rsidR="00401875">
        <w:rPr>
          <w:lang w:val="en-GB"/>
        </w:rPr>
        <w:t>early childhood and education services, social care services and specific awareness</w:t>
      </w:r>
      <w:r w:rsidRPr="009A3522" w:rsidR="000F2CDA">
        <w:rPr>
          <w:lang w:val="en-GB"/>
        </w:rPr>
        <w:t>-</w:t>
      </w:r>
      <w:r w:rsidRPr="009A3522" w:rsidR="00401875">
        <w:rPr>
          <w:lang w:val="en-GB"/>
        </w:rPr>
        <w:t>raising campaigns targeting selected population groups;</w:t>
      </w:r>
    </w:p>
    <w:p w:rsidRPr="009A3522" w:rsidR="00F367F6" w:rsidP="001C6AA9" w:rsidRDefault="00F367F6" w14:paraId="3D232202" w14:textId="77777777">
      <w:pPr>
        <w:rPr>
          <w:lang w:val="en-GB"/>
        </w:rPr>
      </w:pPr>
    </w:p>
    <w:p w:rsidRPr="009A3522" w:rsidR="00EE1396" w:rsidRDefault="00253FE2" w14:paraId="5A6FBF8E" w14:textId="77777777">
      <w:pPr>
        <w:pStyle w:val="Heading1"/>
        <w:rPr>
          <w:lang w:val="en-GB"/>
        </w:rPr>
      </w:pPr>
      <w:r w:rsidRPr="009A3522">
        <w:rPr>
          <w:lang w:val="en-GB"/>
        </w:rPr>
        <w:t>d</w:t>
      </w:r>
      <w:r w:rsidRPr="009A3522" w:rsidR="00401875">
        <w:rPr>
          <w:lang w:val="en-GB"/>
        </w:rPr>
        <w:t>raws attention to the CoR 2020 Regional Barometer report and its examples of how different regions and cities mobili</w:t>
      </w:r>
      <w:r w:rsidRPr="009A3522">
        <w:rPr>
          <w:lang w:val="en-GB"/>
        </w:rPr>
        <w:t>s</w:t>
      </w:r>
      <w:r w:rsidRPr="009A3522" w:rsidR="00401875">
        <w:rPr>
          <w:lang w:val="en-GB"/>
        </w:rPr>
        <w:t>ed to ensure the broadest possible coverage against COVID-19; these case studies are proof that local knowledge and engagement are key to success</w:t>
      </w:r>
      <w:r w:rsidRPr="009A3522" w:rsidR="00A418F8">
        <w:rPr>
          <w:lang w:val="en-GB"/>
        </w:rPr>
        <w:t>.</w:t>
      </w:r>
    </w:p>
    <w:p w:rsidR="003A043C" w:rsidP="00011EC1" w:rsidRDefault="003A043C" w14:paraId="2795DCEF" w14:textId="30A3B9FA">
      <w:pPr>
        <w:rPr>
          <w:lang w:val="en-GB"/>
        </w:rPr>
      </w:pPr>
    </w:p>
    <w:p w:rsidRPr="009A3522" w:rsidR="00011EC1" w:rsidRDefault="00011EC1" w14:paraId="142280DE" w14:textId="77777777">
      <w:pPr>
        <w:rPr>
          <w:lang w:val="en-GB"/>
        </w:rPr>
      </w:pPr>
    </w:p>
    <w:p w:rsidR="00EB2E3A" w:rsidP="00F940B1" w:rsidRDefault="00444A98" w14:paraId="064F79E0" w14:textId="53CAF795">
      <w:pPr>
        <w:keepNext/>
        <w:keepLines/>
        <w:rPr>
          <w:lang w:val="en-GB"/>
        </w:rPr>
      </w:pPr>
      <w:r w:rsidRPr="009A3522">
        <w:rPr>
          <w:lang w:val="en-GB"/>
        </w:rPr>
        <w:t xml:space="preserve">Brussels, </w:t>
      </w:r>
      <w:r w:rsidR="00305F18">
        <w:rPr>
          <w:lang w:val="en-GB"/>
        </w:rPr>
        <w:t>30 November</w:t>
      </w:r>
      <w:r w:rsidR="00CC5E0A">
        <w:rPr>
          <w:lang w:val="en-GB"/>
        </w:rPr>
        <w:t xml:space="preserve"> 2023</w:t>
      </w:r>
      <w:r w:rsidR="00D111AB">
        <w:rPr>
          <w:lang w:val="en-GB"/>
        </w:rPr>
        <w:t>.</w:t>
      </w:r>
    </w:p>
    <w:p w:rsidR="00CC5E0A" w:rsidP="00F940B1" w:rsidRDefault="00CC5E0A" w14:paraId="6F0CF76B" w14:textId="5F7CC199">
      <w:pPr>
        <w:keepNext/>
        <w:keepLines/>
        <w:rPr>
          <w:lang w:val="en-GB"/>
        </w:rPr>
      </w:pPr>
    </w:p>
    <w:tbl>
      <w:tblPr>
        <w:tblW w:w="0" w:type="auto"/>
        <w:tblLayout w:type="fixed"/>
        <w:tblLook w:val="04A0" w:firstRow="1" w:lastRow="0" w:firstColumn="1" w:lastColumn="0" w:noHBand="0" w:noVBand="1"/>
      </w:tblPr>
      <w:tblGrid>
        <w:gridCol w:w="4644"/>
        <w:gridCol w:w="4645"/>
      </w:tblGrid>
      <w:tr w:rsidRPr="00EB02D5" w:rsidR="00EB02D5" w:rsidTr="006713E1" w14:paraId="239682D4" w14:textId="77777777">
        <w:tc>
          <w:tcPr>
            <w:tcW w:w="4644" w:type="dxa"/>
            <w:hideMark/>
          </w:tcPr>
          <w:p w:rsidRPr="00EB02D5" w:rsidR="00EB02D5" w:rsidP="00F940B1" w:rsidRDefault="00EB02D5" w14:paraId="5AB2372B" w14:textId="77777777">
            <w:pPr>
              <w:keepNext/>
              <w:keepLines/>
              <w:overflowPunct w:val="0"/>
              <w:autoSpaceDE w:val="0"/>
              <w:autoSpaceDN w:val="0"/>
              <w:adjustRightInd w:val="0"/>
              <w:jc w:val="center"/>
              <w:rPr>
                <w:szCs w:val="20"/>
                <w:lang w:val="en-GB"/>
              </w:rPr>
            </w:pPr>
            <w:r w:rsidRPr="00EB02D5">
              <w:rPr>
                <w:szCs w:val="20"/>
                <w:lang w:val="en-GB"/>
              </w:rPr>
              <w:t>The President</w:t>
            </w:r>
            <w:r w:rsidRPr="00EB02D5">
              <w:rPr>
                <w:szCs w:val="20"/>
                <w:lang w:val="en-GB"/>
              </w:rPr>
              <w:br/>
              <w:t>of the European Committee of the Regions</w:t>
            </w:r>
            <w:r w:rsidRPr="00EB02D5">
              <w:rPr>
                <w:szCs w:val="20"/>
                <w:lang w:val="en-GB"/>
              </w:rPr>
              <w:br/>
            </w:r>
            <w:r w:rsidRPr="00EB02D5">
              <w:rPr>
                <w:szCs w:val="20"/>
                <w:lang w:val="en-GB"/>
              </w:rPr>
              <w:br/>
            </w:r>
            <w:r w:rsidRPr="00EB02D5">
              <w:rPr>
                <w:szCs w:val="20"/>
                <w:lang w:val="en-GB"/>
              </w:rPr>
              <w:br/>
            </w:r>
            <w:r w:rsidRPr="00EB02D5">
              <w:rPr>
                <w:szCs w:val="20"/>
                <w:lang w:val="en-GB"/>
              </w:rPr>
              <w:br/>
            </w:r>
            <w:r w:rsidRPr="00EB02D5">
              <w:rPr>
                <w:szCs w:val="20"/>
                <w:lang w:val="en-GB"/>
              </w:rPr>
              <w:br/>
              <w:t>Vasco Alves Cordeiro</w:t>
            </w:r>
          </w:p>
        </w:tc>
        <w:tc>
          <w:tcPr>
            <w:tcW w:w="4645" w:type="dxa"/>
          </w:tcPr>
          <w:p w:rsidRPr="00EB02D5" w:rsidR="00EB02D5" w:rsidP="00F940B1" w:rsidRDefault="00EB02D5" w14:paraId="01FB5FCA" w14:textId="77777777">
            <w:pPr>
              <w:keepNext/>
              <w:keepLines/>
              <w:overflowPunct w:val="0"/>
              <w:autoSpaceDE w:val="0"/>
              <w:autoSpaceDN w:val="0"/>
              <w:adjustRightInd w:val="0"/>
              <w:rPr>
                <w:szCs w:val="20"/>
                <w:lang w:val="en-GB"/>
              </w:rPr>
            </w:pPr>
          </w:p>
        </w:tc>
      </w:tr>
      <w:tr w:rsidRPr="00EB02D5" w:rsidR="00EB02D5" w:rsidTr="006713E1" w14:paraId="3561220D" w14:textId="77777777">
        <w:tc>
          <w:tcPr>
            <w:tcW w:w="4644" w:type="dxa"/>
          </w:tcPr>
          <w:p w:rsidRPr="00EB02D5" w:rsidR="00EB02D5" w:rsidP="00F940B1" w:rsidRDefault="00EB02D5" w14:paraId="6025CC91" w14:textId="77777777">
            <w:pPr>
              <w:keepNext/>
              <w:keepLines/>
              <w:overflowPunct w:val="0"/>
              <w:autoSpaceDE w:val="0"/>
              <w:autoSpaceDN w:val="0"/>
              <w:adjustRightInd w:val="0"/>
              <w:rPr>
                <w:szCs w:val="20"/>
                <w:lang w:val="en-GB"/>
              </w:rPr>
            </w:pPr>
          </w:p>
        </w:tc>
        <w:tc>
          <w:tcPr>
            <w:tcW w:w="4645" w:type="dxa"/>
            <w:hideMark/>
          </w:tcPr>
          <w:p w:rsidRPr="00EB02D5" w:rsidR="00EB02D5" w:rsidP="00F940B1" w:rsidRDefault="00EB02D5" w14:paraId="2525C772" w14:textId="77777777">
            <w:pPr>
              <w:keepNext/>
              <w:keepLines/>
              <w:overflowPunct w:val="0"/>
              <w:autoSpaceDE w:val="0"/>
              <w:autoSpaceDN w:val="0"/>
              <w:adjustRightInd w:val="0"/>
              <w:jc w:val="center"/>
              <w:rPr>
                <w:szCs w:val="20"/>
                <w:lang w:val="en-GB"/>
              </w:rPr>
            </w:pPr>
            <w:r w:rsidRPr="00EB02D5">
              <w:rPr>
                <w:szCs w:val="20"/>
                <w:lang w:val="en-GB"/>
              </w:rPr>
              <w:t>The Secretary-General</w:t>
            </w:r>
            <w:r w:rsidRPr="00EB02D5">
              <w:rPr>
                <w:szCs w:val="20"/>
                <w:lang w:val="en-GB"/>
              </w:rPr>
              <w:br/>
              <w:t>of the European Committee of the Regions</w:t>
            </w:r>
            <w:r w:rsidRPr="00EB02D5">
              <w:rPr>
                <w:szCs w:val="20"/>
                <w:lang w:val="en-GB"/>
              </w:rPr>
              <w:br/>
            </w:r>
            <w:r w:rsidRPr="00EB02D5">
              <w:rPr>
                <w:szCs w:val="20"/>
                <w:lang w:val="en-GB"/>
              </w:rPr>
              <w:br/>
            </w:r>
            <w:r w:rsidRPr="00EB02D5">
              <w:rPr>
                <w:szCs w:val="20"/>
                <w:lang w:val="en-GB"/>
              </w:rPr>
              <w:br/>
            </w:r>
            <w:r w:rsidRPr="00EB02D5">
              <w:rPr>
                <w:szCs w:val="20"/>
                <w:lang w:val="en-GB"/>
              </w:rPr>
              <w:br/>
            </w:r>
            <w:r w:rsidRPr="00EB02D5">
              <w:rPr>
                <w:szCs w:val="20"/>
                <w:lang w:val="en-GB"/>
              </w:rPr>
              <w:br/>
              <w:t>Petr Blížkovský</w:t>
            </w:r>
          </w:p>
        </w:tc>
      </w:tr>
    </w:tbl>
    <w:p w:rsidRPr="009A3522" w:rsidR="00CC5E0A" w:rsidP="00D718BD" w:rsidRDefault="00CC5E0A" w14:paraId="501C02FE" w14:textId="77777777">
      <w:pPr>
        <w:rPr>
          <w:lang w:val="en-GB"/>
        </w:rPr>
      </w:pPr>
    </w:p>
    <w:p w:rsidRPr="009A3522" w:rsidR="007E1925" w:rsidRDefault="007E1925" w14:paraId="3FBB3E48" w14:textId="52283D4F">
      <w:pPr>
        <w:spacing w:line="240" w:lineRule="auto"/>
        <w:jc w:val="left"/>
        <w:rPr>
          <w:lang w:val="en-GB"/>
        </w:rPr>
      </w:pPr>
      <w:r w:rsidRPr="009A3522">
        <w:rPr>
          <w:lang w:val="en-GB"/>
        </w:rPr>
        <w:br w:type="page"/>
      </w:r>
    </w:p>
    <w:p w:rsidRPr="009A3522" w:rsidR="00B550BC" w:rsidP="000C2677" w:rsidRDefault="00EB2E3A" w14:paraId="5FFE59A4" w14:textId="77777777">
      <w:pPr>
        <w:numPr>
          <w:ilvl w:val="0"/>
          <w:numId w:val="16"/>
        </w:numPr>
        <w:ind w:left="567" w:hanging="578"/>
        <w:rPr>
          <w:b/>
          <w:lang w:val="en-GB"/>
        </w:rPr>
      </w:pPr>
      <w:r w:rsidRPr="009A3522">
        <w:rPr>
          <w:b/>
          <w:bCs/>
          <w:lang w:val="en-GB"/>
        </w:rPr>
        <w:t>P</w:t>
      </w:r>
      <w:r w:rsidRPr="009A3522" w:rsidR="00444A98">
        <w:rPr>
          <w:b/>
          <w:bCs/>
          <w:lang w:val="en-GB"/>
        </w:rPr>
        <w:t>ROCEDURE</w:t>
      </w:r>
    </w:p>
    <w:p w:rsidRPr="009A3522" w:rsidR="00444A98" w:rsidP="00360894" w:rsidRDefault="00444A98" w14:paraId="25474DE1" w14:textId="77777777">
      <w:pPr>
        <w:keepNext/>
        <w:keepLines/>
        <w:rPr>
          <w:lang w:val="en-GB"/>
        </w:rPr>
      </w:pPr>
    </w:p>
    <w:tbl>
      <w:tblPr>
        <w:tblW w:w="9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848"/>
        <w:gridCol w:w="5441"/>
      </w:tblGrid>
      <w:tr w:rsidRPr="009A3522" w:rsidR="00444A98" w:rsidTr="00183EE2" w14:paraId="33B445A0" w14:textId="77777777">
        <w:tc>
          <w:tcPr>
            <w:tcW w:w="3848" w:type="dxa"/>
            <w:noWrap/>
          </w:tcPr>
          <w:p w:rsidRPr="009A3522" w:rsidR="00444A98" w:rsidP="00360894" w:rsidRDefault="00444A98" w14:paraId="4000BD19" w14:textId="03310965">
            <w:pPr>
              <w:keepNext/>
              <w:keepLines/>
              <w:rPr>
                <w:lang w:val="en-GB"/>
              </w:rPr>
            </w:pPr>
            <w:r w:rsidRPr="009A3522">
              <w:rPr>
                <w:b/>
                <w:bCs/>
                <w:lang w:val="en-GB"/>
              </w:rPr>
              <w:t>Title</w:t>
            </w:r>
          </w:p>
        </w:tc>
        <w:tc>
          <w:tcPr>
            <w:tcW w:w="5441" w:type="dxa"/>
            <w:noWrap/>
          </w:tcPr>
          <w:p w:rsidRPr="009A3522" w:rsidR="00444A98" w:rsidP="00360894" w:rsidRDefault="00602E37" w14:paraId="7763334F" w14:textId="322C88B1">
            <w:pPr>
              <w:keepNext/>
              <w:keepLines/>
              <w:rPr>
                <w:b/>
                <w:bCs/>
                <w:lang w:val="en-GB"/>
              </w:rPr>
            </w:pPr>
            <w:r w:rsidRPr="009A3522">
              <w:rPr>
                <w:b/>
                <w:bCs/>
                <w:lang w:val="en-GB"/>
              </w:rPr>
              <w:t>The role of cities as health promoters</w:t>
            </w:r>
          </w:p>
        </w:tc>
      </w:tr>
      <w:tr w:rsidRPr="009A3522" w:rsidR="00444A98" w:rsidTr="00183EE2" w14:paraId="3D25714F" w14:textId="77777777">
        <w:tc>
          <w:tcPr>
            <w:tcW w:w="3848" w:type="dxa"/>
            <w:noWrap/>
          </w:tcPr>
          <w:p w:rsidRPr="009A3522" w:rsidR="00444A98" w:rsidP="006D78CA" w:rsidRDefault="00444A98" w14:paraId="25DFE291" w14:textId="77777777">
            <w:pPr>
              <w:jc w:val="left"/>
              <w:rPr>
                <w:b/>
                <w:bCs/>
                <w:lang w:val="en-GB"/>
              </w:rPr>
            </w:pPr>
            <w:r w:rsidRPr="009A3522">
              <w:rPr>
                <w:b/>
                <w:bCs/>
                <w:lang w:val="en-GB"/>
              </w:rPr>
              <w:t xml:space="preserve">Reference(s) </w:t>
            </w:r>
          </w:p>
        </w:tc>
        <w:tc>
          <w:tcPr>
            <w:tcW w:w="5441" w:type="dxa"/>
            <w:noWrap/>
          </w:tcPr>
          <w:p w:rsidRPr="009A3522" w:rsidR="00444A98" w:rsidP="003A043C" w:rsidRDefault="00444A98" w14:paraId="1903AD8B" w14:textId="5993530A">
            <w:pPr>
              <w:rPr>
                <w:lang w:val="en-GB"/>
              </w:rPr>
            </w:pPr>
          </w:p>
        </w:tc>
      </w:tr>
      <w:tr w:rsidRPr="009A3522" w:rsidR="00CF65AA" w:rsidTr="00183EE2" w14:paraId="23E1F4AB" w14:textId="77777777">
        <w:tc>
          <w:tcPr>
            <w:tcW w:w="3848" w:type="dxa"/>
            <w:noWrap/>
          </w:tcPr>
          <w:p w:rsidRPr="009A3522" w:rsidR="00CF65AA" w:rsidP="00CF65AA" w:rsidRDefault="00CF65AA" w14:paraId="6078A5EF" w14:textId="57C3FA34">
            <w:pPr>
              <w:jc w:val="left"/>
              <w:rPr>
                <w:b/>
                <w:bCs/>
                <w:lang w:val="en-GB"/>
              </w:rPr>
            </w:pPr>
            <w:r w:rsidRPr="009A3522">
              <w:rPr>
                <w:b/>
                <w:bCs/>
                <w:lang w:val="en-GB"/>
              </w:rPr>
              <w:t>Legal basis</w:t>
            </w:r>
          </w:p>
        </w:tc>
        <w:tc>
          <w:tcPr>
            <w:tcW w:w="5441" w:type="dxa"/>
            <w:noWrap/>
          </w:tcPr>
          <w:p w:rsidRPr="009A3522" w:rsidR="00CF65AA" w:rsidP="00CF65AA" w:rsidRDefault="00CF65AA" w14:paraId="0F82B18C" w14:textId="0985B7F8">
            <w:pPr>
              <w:rPr>
                <w:lang w:val="en-GB"/>
              </w:rPr>
            </w:pPr>
            <w:r w:rsidRPr="009A3522">
              <w:rPr>
                <w:lang w:val="en-GB"/>
              </w:rPr>
              <w:t>Art. 307(1)</w:t>
            </w:r>
          </w:p>
        </w:tc>
      </w:tr>
      <w:tr w:rsidRPr="009A3522" w:rsidR="00CF65AA" w:rsidTr="00183EE2" w14:paraId="204C723C" w14:textId="77777777">
        <w:tc>
          <w:tcPr>
            <w:tcW w:w="3848" w:type="dxa"/>
            <w:noWrap/>
          </w:tcPr>
          <w:p w:rsidRPr="009A3522" w:rsidR="00CF65AA" w:rsidP="00CF65AA" w:rsidRDefault="00CF65AA" w14:paraId="2E740F6D" w14:textId="222981D2">
            <w:pPr>
              <w:jc w:val="left"/>
              <w:rPr>
                <w:b/>
                <w:bCs/>
                <w:lang w:val="en-GB"/>
              </w:rPr>
            </w:pPr>
            <w:r w:rsidRPr="009A3522">
              <w:rPr>
                <w:b/>
                <w:bCs/>
                <w:lang w:val="en-GB"/>
              </w:rPr>
              <w:t>Procedural basis</w:t>
            </w:r>
          </w:p>
        </w:tc>
        <w:tc>
          <w:tcPr>
            <w:tcW w:w="5441" w:type="dxa"/>
            <w:noWrap/>
          </w:tcPr>
          <w:p w:rsidRPr="009A3522" w:rsidR="00CF65AA" w:rsidP="00CF65AA" w:rsidRDefault="00760EEB" w14:paraId="35809121" w14:textId="7A667F9D">
            <w:pPr>
              <w:rPr>
                <w:lang w:val="en-GB"/>
              </w:rPr>
            </w:pPr>
            <w:r w:rsidRPr="009A3522">
              <w:rPr>
                <w:lang w:val="en-GB"/>
              </w:rPr>
              <w:t>Rules of procedure 41, b)(i)</w:t>
            </w:r>
          </w:p>
        </w:tc>
      </w:tr>
      <w:tr w:rsidRPr="009A3522" w:rsidR="003F2F42" w:rsidTr="00183EE2" w14:paraId="1A91A5E6" w14:textId="77777777">
        <w:tc>
          <w:tcPr>
            <w:tcW w:w="3848" w:type="dxa"/>
          </w:tcPr>
          <w:p w:rsidRPr="009A3522" w:rsidR="003F2F42" w:rsidP="003F2F42" w:rsidRDefault="003F2F42" w14:paraId="2FC73A12" w14:textId="4379B43D">
            <w:pPr>
              <w:jc w:val="left"/>
              <w:rPr>
                <w:lang w:val="en-GB"/>
              </w:rPr>
            </w:pPr>
            <w:r w:rsidRPr="009A3522">
              <w:rPr>
                <w:b/>
                <w:bCs/>
                <w:lang w:val="en-GB"/>
              </w:rPr>
              <w:t>Date of Council letter</w:t>
            </w:r>
          </w:p>
        </w:tc>
        <w:tc>
          <w:tcPr>
            <w:tcW w:w="5441" w:type="dxa"/>
            <w:noWrap/>
          </w:tcPr>
          <w:p w:rsidRPr="009A3522" w:rsidR="003F2F42" w:rsidP="003F2F42" w:rsidRDefault="003F2F42" w14:paraId="090B88F4" w14:textId="5700D354">
            <w:pPr>
              <w:rPr>
                <w:lang w:val="en-GB"/>
              </w:rPr>
            </w:pPr>
            <w:r w:rsidRPr="009A3522">
              <w:rPr>
                <w:lang w:val="en-GB"/>
              </w:rPr>
              <w:t>5 May 2023</w:t>
            </w:r>
          </w:p>
        </w:tc>
      </w:tr>
      <w:tr w:rsidRPr="009A3522" w:rsidR="003F2F42" w:rsidTr="00183EE2" w14:paraId="5C79075B" w14:textId="77777777">
        <w:tc>
          <w:tcPr>
            <w:tcW w:w="3848" w:type="dxa"/>
          </w:tcPr>
          <w:p w:rsidRPr="009A3522" w:rsidR="003F2F42" w:rsidP="003F2F42" w:rsidRDefault="003F2F42" w14:paraId="6096374D" w14:textId="77777777">
            <w:pPr>
              <w:jc w:val="left"/>
              <w:rPr>
                <w:lang w:val="en-GB"/>
              </w:rPr>
            </w:pPr>
            <w:r w:rsidRPr="009A3522">
              <w:rPr>
                <w:b/>
                <w:bCs/>
                <w:lang w:val="en-GB"/>
              </w:rPr>
              <w:t>Date of Bureau/President's decision</w:t>
            </w:r>
          </w:p>
        </w:tc>
        <w:tc>
          <w:tcPr>
            <w:tcW w:w="5441" w:type="dxa"/>
            <w:noWrap/>
          </w:tcPr>
          <w:p w:rsidRPr="009A3522" w:rsidR="003F2F42" w:rsidP="003F2F42" w:rsidRDefault="003F2F42" w14:paraId="7DD48180" w14:textId="77777777">
            <w:pPr>
              <w:rPr>
                <w:lang w:val="en-GB"/>
              </w:rPr>
            </w:pPr>
          </w:p>
        </w:tc>
      </w:tr>
      <w:tr w:rsidRPr="009A3522" w:rsidR="003F2F42" w:rsidTr="00183EE2" w14:paraId="7A07543E" w14:textId="77777777">
        <w:tc>
          <w:tcPr>
            <w:tcW w:w="3848" w:type="dxa"/>
            <w:noWrap/>
          </w:tcPr>
          <w:p w:rsidRPr="009A3522" w:rsidR="003F2F42" w:rsidP="003F2F42" w:rsidRDefault="003F2F42" w14:paraId="2A1C11A4" w14:textId="77777777">
            <w:pPr>
              <w:jc w:val="left"/>
              <w:rPr>
                <w:b/>
                <w:bCs/>
                <w:lang w:val="en-GB"/>
              </w:rPr>
            </w:pPr>
            <w:r w:rsidRPr="009A3522">
              <w:rPr>
                <w:b/>
                <w:bCs/>
                <w:lang w:val="en-GB"/>
              </w:rPr>
              <w:t>Commission responsible</w:t>
            </w:r>
          </w:p>
        </w:tc>
        <w:tc>
          <w:tcPr>
            <w:tcW w:w="5441" w:type="dxa"/>
            <w:noWrap/>
          </w:tcPr>
          <w:p w:rsidRPr="009A3522" w:rsidR="003F2F42" w:rsidP="003F2F42" w:rsidRDefault="003F2F42" w14:paraId="11DD836B" w14:textId="625ECB4A">
            <w:pPr>
              <w:rPr>
                <w:lang w:val="en-GB"/>
              </w:rPr>
            </w:pPr>
            <w:r w:rsidRPr="009A3522">
              <w:rPr>
                <w:lang w:val="en-GB"/>
              </w:rPr>
              <w:t>Commission for Natural Resources (NAT)</w:t>
            </w:r>
          </w:p>
        </w:tc>
      </w:tr>
      <w:tr w:rsidRPr="009A3522" w:rsidR="003F2F42" w:rsidTr="00183EE2" w14:paraId="7763E683" w14:textId="77777777">
        <w:tc>
          <w:tcPr>
            <w:tcW w:w="3848" w:type="dxa"/>
            <w:noWrap/>
          </w:tcPr>
          <w:p w:rsidRPr="009A3522" w:rsidR="003F2F42" w:rsidP="003F2F42" w:rsidRDefault="003F2F42" w14:paraId="0637CD75" w14:textId="77777777">
            <w:pPr>
              <w:jc w:val="left"/>
              <w:rPr>
                <w:b/>
                <w:bCs/>
                <w:lang w:val="en-GB"/>
              </w:rPr>
            </w:pPr>
            <w:r w:rsidRPr="009A3522">
              <w:rPr>
                <w:b/>
                <w:bCs/>
                <w:lang w:val="en-GB"/>
              </w:rPr>
              <w:t>Rapporteur</w:t>
            </w:r>
          </w:p>
        </w:tc>
        <w:tc>
          <w:tcPr>
            <w:tcW w:w="5441" w:type="dxa"/>
            <w:noWrap/>
          </w:tcPr>
          <w:p w:rsidRPr="009A3522" w:rsidR="003F2F42" w:rsidP="003F2F42" w:rsidRDefault="003F2F42" w14:paraId="25D1A998" w14:textId="5985EF6C">
            <w:pPr>
              <w:rPr>
                <w:lang w:val="en-GB"/>
              </w:rPr>
            </w:pPr>
            <w:r w:rsidRPr="009A3522">
              <w:rPr>
                <w:lang w:val="en-GB"/>
              </w:rPr>
              <w:t>Adam BANASZAK</w:t>
            </w:r>
            <w:r w:rsidRPr="009A3522" w:rsidR="005E4F1E">
              <w:rPr>
                <w:lang w:val="en-GB"/>
              </w:rPr>
              <w:t xml:space="preserve"> (PL/ECR)</w:t>
            </w:r>
          </w:p>
        </w:tc>
      </w:tr>
      <w:tr w:rsidRPr="009A3522" w:rsidR="003F2F42" w:rsidTr="00183EE2" w14:paraId="50CFA60D" w14:textId="77777777">
        <w:tc>
          <w:tcPr>
            <w:tcW w:w="3848" w:type="dxa"/>
            <w:noWrap/>
          </w:tcPr>
          <w:p w:rsidRPr="009A3522" w:rsidR="003F2F42" w:rsidP="003F2F42" w:rsidRDefault="003F2F42" w14:paraId="1091857E" w14:textId="77777777">
            <w:pPr>
              <w:jc w:val="left"/>
              <w:rPr>
                <w:b/>
                <w:bCs/>
                <w:lang w:val="en-GB"/>
              </w:rPr>
            </w:pPr>
            <w:r w:rsidRPr="009A3522">
              <w:rPr>
                <w:b/>
                <w:bCs/>
                <w:lang w:val="en-GB"/>
              </w:rPr>
              <w:t xml:space="preserve">Discussed in commission </w:t>
            </w:r>
          </w:p>
        </w:tc>
        <w:tc>
          <w:tcPr>
            <w:tcW w:w="5441" w:type="dxa"/>
            <w:noWrap/>
          </w:tcPr>
          <w:p w:rsidRPr="009A3522" w:rsidR="003F2F42" w:rsidP="003F2F42" w:rsidRDefault="003F2F42" w14:paraId="39BADD7C" w14:textId="3DF557CA">
            <w:pPr>
              <w:rPr>
                <w:lang w:val="en-GB"/>
              </w:rPr>
            </w:pPr>
            <w:r w:rsidRPr="009A3522">
              <w:rPr>
                <w:lang w:val="en-GB"/>
              </w:rPr>
              <w:t>5 October 2023</w:t>
            </w:r>
          </w:p>
        </w:tc>
      </w:tr>
      <w:tr w:rsidRPr="009A3522" w:rsidR="003F2F42" w:rsidTr="00183EE2" w14:paraId="550B9AC6" w14:textId="77777777">
        <w:tc>
          <w:tcPr>
            <w:tcW w:w="3848" w:type="dxa"/>
            <w:noWrap/>
          </w:tcPr>
          <w:p w:rsidRPr="009A3522" w:rsidR="003F2F42" w:rsidP="003F2F42" w:rsidRDefault="003F2F42" w14:paraId="49222FEA" w14:textId="77777777">
            <w:pPr>
              <w:jc w:val="left"/>
              <w:rPr>
                <w:b/>
                <w:bCs/>
                <w:lang w:val="en-GB"/>
              </w:rPr>
            </w:pPr>
            <w:r w:rsidRPr="009A3522">
              <w:rPr>
                <w:b/>
                <w:bCs/>
                <w:lang w:val="en-GB"/>
              </w:rPr>
              <w:t xml:space="preserve">Date adopted by commission </w:t>
            </w:r>
          </w:p>
        </w:tc>
        <w:tc>
          <w:tcPr>
            <w:tcW w:w="5441" w:type="dxa"/>
            <w:noWrap/>
          </w:tcPr>
          <w:p w:rsidRPr="009A3522" w:rsidR="003F2F42" w:rsidP="003F2F42" w:rsidRDefault="003F2F42" w14:paraId="3F951320" w14:textId="0CB236DC">
            <w:pPr>
              <w:rPr>
                <w:lang w:val="en-GB"/>
              </w:rPr>
            </w:pPr>
            <w:r w:rsidRPr="009A3522">
              <w:rPr>
                <w:lang w:val="en-GB"/>
              </w:rPr>
              <w:t>5 October 2023</w:t>
            </w:r>
          </w:p>
        </w:tc>
      </w:tr>
      <w:tr w:rsidRPr="009A3522" w:rsidR="003F2F42" w:rsidTr="00183EE2" w14:paraId="18A68C55" w14:textId="77777777">
        <w:tc>
          <w:tcPr>
            <w:tcW w:w="3848" w:type="dxa"/>
            <w:noWrap/>
          </w:tcPr>
          <w:p w:rsidRPr="009A3522" w:rsidR="003F2F42" w:rsidRDefault="003F2F42" w14:paraId="08EBB26E" w14:textId="69EF55A5">
            <w:pPr>
              <w:jc w:val="left"/>
              <w:rPr>
                <w:b/>
                <w:bCs/>
                <w:lang w:val="en-GB"/>
              </w:rPr>
            </w:pPr>
            <w:r w:rsidRPr="009A3522">
              <w:rPr>
                <w:b/>
                <w:bCs/>
                <w:lang w:val="en-GB"/>
              </w:rPr>
              <w:t>Result of the vote in commission</w:t>
            </w:r>
            <w:r w:rsidRPr="009A3522" w:rsidR="007E1925">
              <w:rPr>
                <w:b/>
                <w:bCs/>
                <w:lang w:val="en-GB"/>
              </w:rPr>
              <w:t xml:space="preserve"> </w:t>
            </w:r>
            <w:r w:rsidRPr="009A3522">
              <w:rPr>
                <w:b/>
                <w:bCs/>
                <w:lang w:val="en-GB"/>
              </w:rPr>
              <w:t>(majority, unanimity)</w:t>
            </w:r>
          </w:p>
        </w:tc>
        <w:tc>
          <w:tcPr>
            <w:tcW w:w="5441" w:type="dxa"/>
            <w:noWrap/>
          </w:tcPr>
          <w:p w:rsidRPr="009A3522" w:rsidR="003F2F42" w:rsidP="003F2F42" w:rsidRDefault="007F09AA" w14:paraId="5528C8A7" w14:textId="27D02670">
            <w:pPr>
              <w:rPr>
                <w:lang w:val="en-GB"/>
              </w:rPr>
            </w:pPr>
            <w:r w:rsidRPr="001560D2">
              <w:rPr>
                <w:lang w:val="en-GB"/>
              </w:rPr>
              <w:t>Majority</w:t>
            </w:r>
          </w:p>
        </w:tc>
      </w:tr>
      <w:tr w:rsidRPr="009A3522" w:rsidR="003F2F42" w:rsidTr="00183EE2" w14:paraId="2F6D707B" w14:textId="77777777">
        <w:tc>
          <w:tcPr>
            <w:tcW w:w="3848" w:type="dxa"/>
            <w:noWrap/>
          </w:tcPr>
          <w:p w:rsidRPr="009A3522" w:rsidR="003F2F42" w:rsidP="003F2F42" w:rsidRDefault="003F2F42" w14:paraId="48624E4D" w14:textId="77777777">
            <w:pPr>
              <w:jc w:val="left"/>
              <w:rPr>
                <w:b/>
                <w:bCs/>
                <w:lang w:val="en-GB"/>
              </w:rPr>
            </w:pPr>
            <w:r w:rsidRPr="009A3522">
              <w:rPr>
                <w:b/>
                <w:bCs/>
                <w:lang w:val="en-GB"/>
              </w:rPr>
              <w:t xml:space="preserve">Date adopted in plenary </w:t>
            </w:r>
          </w:p>
        </w:tc>
        <w:tc>
          <w:tcPr>
            <w:tcW w:w="5441" w:type="dxa"/>
            <w:noWrap/>
          </w:tcPr>
          <w:p w:rsidRPr="009A3522" w:rsidR="003F2F42" w:rsidP="003F2F42" w:rsidRDefault="00931F44" w14:paraId="7E62CD5D" w14:textId="6A0EA043">
            <w:pPr>
              <w:rPr>
                <w:lang w:val="en-GB"/>
              </w:rPr>
            </w:pPr>
            <w:r w:rsidRPr="009A3522">
              <w:rPr>
                <w:lang w:val="en-GB"/>
              </w:rPr>
              <w:t xml:space="preserve">30 </w:t>
            </w:r>
            <w:r w:rsidRPr="009A3522" w:rsidR="003F2F42">
              <w:rPr>
                <w:lang w:val="en-GB"/>
              </w:rPr>
              <w:t>November 2023</w:t>
            </w:r>
          </w:p>
        </w:tc>
      </w:tr>
      <w:tr w:rsidRPr="009A3522" w:rsidR="003F2F42" w:rsidTr="00183EE2" w14:paraId="59F2AEB5" w14:textId="77777777">
        <w:tc>
          <w:tcPr>
            <w:tcW w:w="3848" w:type="dxa"/>
            <w:noWrap/>
          </w:tcPr>
          <w:p w:rsidRPr="009A3522" w:rsidR="003F2F42" w:rsidP="003F2F42" w:rsidRDefault="003F2F42" w14:paraId="1480F6BA" w14:textId="77777777">
            <w:pPr>
              <w:jc w:val="left"/>
              <w:rPr>
                <w:b/>
                <w:bCs/>
                <w:lang w:val="en-GB"/>
              </w:rPr>
            </w:pPr>
            <w:r w:rsidRPr="009A3522">
              <w:rPr>
                <w:b/>
                <w:bCs/>
                <w:lang w:val="en-GB"/>
              </w:rPr>
              <w:t xml:space="preserve">Previous Committee opinions </w:t>
            </w:r>
          </w:p>
        </w:tc>
        <w:tc>
          <w:tcPr>
            <w:tcW w:w="5441" w:type="dxa"/>
            <w:noWrap/>
          </w:tcPr>
          <w:p w:rsidRPr="009A3522" w:rsidR="003F2F42" w:rsidP="003F2F42" w:rsidRDefault="00760EEB" w14:paraId="32860175" w14:textId="7E019D6E">
            <w:pPr>
              <w:rPr>
                <w:lang w:val="en-GB"/>
              </w:rPr>
            </w:pPr>
            <w:r w:rsidRPr="009A3522">
              <w:rPr>
                <w:lang w:val="en-GB"/>
              </w:rPr>
              <w:t>Opinion on Health in cities</w:t>
            </w:r>
            <w:r w:rsidRPr="009A3522">
              <w:rPr>
                <w:rStyle w:val="FootnoteReference"/>
                <w:lang w:val="en-GB"/>
              </w:rPr>
              <w:footnoteReference w:id="8"/>
            </w:r>
          </w:p>
        </w:tc>
      </w:tr>
      <w:tr w:rsidRPr="009A3522" w:rsidR="003F2F42" w:rsidTr="00183EE2" w14:paraId="36C22B4E" w14:textId="77777777">
        <w:tc>
          <w:tcPr>
            <w:tcW w:w="3848" w:type="dxa"/>
            <w:noWrap/>
          </w:tcPr>
          <w:p w:rsidRPr="009A3522" w:rsidR="003F2F42" w:rsidP="003F2F42" w:rsidRDefault="003F2F42" w14:paraId="4E25415A" w14:textId="1E817D70">
            <w:pPr>
              <w:jc w:val="left"/>
              <w:rPr>
                <w:b/>
                <w:bCs/>
                <w:lang w:val="en-GB"/>
              </w:rPr>
            </w:pPr>
            <w:r w:rsidRPr="009A3522">
              <w:rPr>
                <w:b/>
                <w:bCs/>
                <w:lang w:val="en-GB"/>
              </w:rPr>
              <w:t>Subsidiarity reference</w:t>
            </w:r>
          </w:p>
        </w:tc>
        <w:tc>
          <w:tcPr>
            <w:tcW w:w="5441" w:type="dxa"/>
            <w:noWrap/>
          </w:tcPr>
          <w:p w:rsidRPr="009A3522" w:rsidR="003F2F42" w:rsidP="003F2F42" w:rsidRDefault="003F2F42" w14:paraId="0648ED3F" w14:textId="712F5054">
            <w:pPr>
              <w:rPr>
                <w:lang w:val="en-GB"/>
              </w:rPr>
            </w:pPr>
            <w:r w:rsidRPr="009A3522">
              <w:rPr>
                <w:lang w:val="en-GB"/>
              </w:rPr>
              <w:t>n/a</w:t>
            </w:r>
          </w:p>
        </w:tc>
      </w:tr>
    </w:tbl>
    <w:p w:rsidRPr="009A3522" w:rsidR="00444A98" w:rsidP="003A043C" w:rsidRDefault="00444A98" w14:paraId="520429A0" w14:textId="2208331B">
      <w:pPr>
        <w:rPr>
          <w:lang w:val="en-GB"/>
        </w:rPr>
      </w:pPr>
    </w:p>
    <w:p w:rsidRPr="009A3522" w:rsidR="00444A98" w:rsidP="00360894" w:rsidRDefault="00444A98" w14:paraId="7CB8958C" w14:textId="730D4195">
      <w:pPr>
        <w:jc w:val="center"/>
        <w:rPr>
          <w:lang w:val="en-GB"/>
        </w:rPr>
      </w:pPr>
      <w:r w:rsidRPr="009A3522">
        <w:rPr>
          <w:lang w:val="en-GB"/>
        </w:rPr>
        <w:t>_____________</w:t>
      </w:r>
    </w:p>
    <w:sectPr w:rsidRPr="009A3522" w:rsidR="00444A98" w:rsidSect="00B93683">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4D0" w:rsidRDefault="001D04D0" w14:paraId="64DE193C" w14:textId="77777777">
      <w:r>
        <w:separator/>
      </w:r>
    </w:p>
  </w:endnote>
  <w:endnote w:type="continuationSeparator" w:id="0">
    <w:p w:rsidR="001D04D0" w:rsidRDefault="001D04D0" w14:paraId="03420A7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B93683" w:rsidR="00B93683" w:rsidP="00B93683" w:rsidRDefault="00B93683" w14:paraId="240B0C6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B93683" w:rsidR="00836B93" w:rsidP="00B93683" w:rsidRDefault="00B93683" w14:paraId="63302427" w14:textId="5344CEA5">
    <w:pPr>
      <w:pStyle w:val="Footer"/>
    </w:pPr>
    <w:r>
      <w:t xml:space="preserve">COR-2023-02951-00-00-AC-TRA (EN) </w:t>
    </w:r>
    <w:r>
      <w:fldChar w:fldCharType="begin"/>
    </w:r>
    <w:r>
      <w:instrText xml:space="preserve"> PAGE  \* Arabic  \* MERGEFORMAT </w:instrText>
    </w:r>
    <w:r>
      <w:fldChar w:fldCharType="separate"/>
    </w:r>
    <w:r w:rsidR="00215DDA">
      <w:rPr>
        <w:noProof/>
      </w:rPr>
      <w:t>1</w:t>
    </w:r>
    <w:r>
      <w:fldChar w:fldCharType="end"/>
    </w:r>
    <w:r>
      <w:t>/</w:t>
    </w:r>
    <w:r>
      <w:fldChar w:fldCharType="begin"/>
    </w:r>
    <w:r>
      <w:instrText xml:space="preserve"> NUMPAGES </w:instrText>
    </w:r>
    <w:r>
      <w:fldChar w:fldCharType="separate"/>
    </w:r>
    <w:r w:rsidR="00215DDA">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B93683" w:rsidR="00B93683" w:rsidP="00B93683" w:rsidRDefault="00B93683" w14:paraId="618CF24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B93683" w:rsidR="007C5583" w:rsidP="00B93683" w:rsidRDefault="007C5583" w14:paraId="046DA674"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B93683" w:rsidR="007C5583" w:rsidP="00B93683" w:rsidRDefault="00B93683" w14:paraId="6F312727" w14:textId="58A49589">
    <w:pPr>
      <w:pStyle w:val="Footer"/>
    </w:pPr>
    <w:r>
      <w:t xml:space="preserve">COR-2023-02951-00-00-AC-TRA (EN) </w:t>
    </w:r>
    <w:r>
      <w:fldChar w:fldCharType="begin"/>
    </w:r>
    <w:r>
      <w:instrText xml:space="preserve"> PAGE  \* Arabic  \* MERGEFORMAT </w:instrText>
    </w:r>
    <w:r>
      <w:fldChar w:fldCharType="separate"/>
    </w:r>
    <w:r>
      <w:rPr>
        <w:noProof/>
      </w:rPr>
      <w:t>2</w:t>
    </w:r>
    <w:r>
      <w:fldChar w:fldCharType="end"/>
    </w:r>
    <w:r>
      <w:t>/</w:t>
    </w:r>
    <w:r>
      <w:fldChar w:fldCharType="begin"/>
    </w:r>
    <w:r>
      <w:instrText xml:space="preserve"> NUMPAGES </w:instrText>
    </w:r>
    <w:r>
      <w:fldChar w:fldCharType="separate"/>
    </w:r>
    <w:r>
      <w:rPr>
        <w:noProof/>
      </w:rPr>
      <w:t>13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B93683" w:rsidR="007C5583" w:rsidP="00B93683" w:rsidRDefault="007C5583" w14:paraId="5D945F4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4D0" w:rsidRDefault="001D04D0" w14:paraId="5CAE22B2" w14:textId="77777777">
      <w:r>
        <w:separator/>
      </w:r>
    </w:p>
  </w:footnote>
  <w:footnote w:type="continuationSeparator" w:id="0">
    <w:p w:rsidR="001D04D0" w:rsidRDefault="001D04D0" w14:paraId="0BE9FBBB" w14:textId="77777777">
      <w:r>
        <w:continuationSeparator/>
      </w:r>
    </w:p>
  </w:footnote>
  <w:footnote w:id="1">
    <w:p w:rsidRPr="00CF6D30" w:rsidR="00FB6171" w:rsidRDefault="00FB6171" w14:paraId="56EE04A2" w14:textId="1B9680DA">
      <w:pPr>
        <w:pStyle w:val="FootnoteText"/>
        <w:rPr>
          <w:lang w:val="en-GB"/>
        </w:rPr>
      </w:pPr>
      <w:r w:rsidRPr="00CF6D30">
        <w:rPr>
          <w:rStyle w:val="FootnoteReference"/>
          <w:lang w:val="en-GB"/>
        </w:rPr>
        <w:footnoteRef/>
      </w:r>
      <w:r w:rsidRPr="00CF6D30" w:rsidR="00A06CB8">
        <w:rPr>
          <w:lang w:val="en-GB"/>
        </w:rPr>
        <w:tab/>
      </w:r>
      <w:hyperlink w:history="1" r:id="rId1">
        <w:r w:rsidRPr="00CF6D30">
          <w:rPr>
            <w:rStyle w:val="Hyperlink"/>
            <w:lang w:val="en-GB"/>
          </w:rPr>
          <w:t>https://urbact.eu/articles/healthy-cities-embedding-health-urban-planning-policies</w:t>
        </w:r>
      </w:hyperlink>
    </w:p>
  </w:footnote>
  <w:footnote w:id="2">
    <w:p w:rsidRPr="00CF6D30" w:rsidR="00FB6171" w:rsidP="001C6AA9" w:rsidRDefault="00FB6171" w14:paraId="4CC31853" w14:textId="77D9FB4A">
      <w:pPr>
        <w:pStyle w:val="FootnoteText"/>
        <w:spacing w:after="0"/>
        <w:rPr>
          <w:lang w:val="en-GB"/>
        </w:rPr>
      </w:pPr>
      <w:r w:rsidRPr="00CF6D30">
        <w:rPr>
          <w:rStyle w:val="FootnoteReference"/>
          <w:lang w:val="en-GB"/>
        </w:rPr>
        <w:footnoteRef/>
      </w:r>
      <w:r w:rsidRPr="00CF6D30" w:rsidR="00A06CB8">
        <w:rPr>
          <w:lang w:val="en-GB"/>
        </w:rPr>
        <w:tab/>
      </w:r>
      <w:hyperlink w:history="1" r:id="rId2">
        <w:r w:rsidRPr="00CF6D30">
          <w:rPr>
            <w:rStyle w:val="Hyperlink"/>
            <w:lang w:val="en-GB"/>
          </w:rPr>
          <w:t>https://www.eea.europa.eu/themes/human/noise/noise-2</w:t>
        </w:r>
      </w:hyperlink>
    </w:p>
  </w:footnote>
  <w:footnote w:id="3">
    <w:p w:rsidRPr="00CF6D30" w:rsidR="00B550BC" w:rsidP="00B550BC" w:rsidRDefault="00B550BC" w14:paraId="403CA150" w14:textId="4831038D">
      <w:pPr>
        <w:pStyle w:val="FootnoteText"/>
        <w:rPr>
          <w:lang w:val="en-GB"/>
        </w:rPr>
      </w:pPr>
      <w:r w:rsidRPr="00CF6D30">
        <w:rPr>
          <w:rStyle w:val="FootnoteReference"/>
          <w:lang w:val="en-GB"/>
        </w:rPr>
        <w:footnoteRef/>
      </w:r>
      <w:r w:rsidRPr="00CF6D30">
        <w:rPr>
          <w:lang w:val="en-GB"/>
        </w:rPr>
        <w:tab/>
      </w:r>
      <w:hyperlink w:history="1" r:id="rId3">
        <w:r w:rsidR="006D2243">
          <w:rPr>
            <w:rStyle w:val="Hyperlink"/>
            <w:lang w:val="en-GB"/>
          </w:rPr>
          <w:t>OJ C 300, 27.7.2021, p. 53</w:t>
        </w:r>
      </w:hyperlink>
      <w:r w:rsidRPr="00CF6D30">
        <w:rPr>
          <w:lang w:val="en-GB"/>
        </w:rPr>
        <w:t>.</w:t>
      </w:r>
    </w:p>
  </w:footnote>
  <w:footnote w:id="4">
    <w:p w:rsidRPr="00CF6D30" w:rsidR="00FB6171" w:rsidRDefault="00FB6171" w14:paraId="48FADC5A" w14:textId="54AF6027">
      <w:pPr>
        <w:pStyle w:val="FootnoteText"/>
        <w:rPr>
          <w:lang w:val="en-GB"/>
        </w:rPr>
      </w:pPr>
      <w:r w:rsidRPr="00CF6D30">
        <w:rPr>
          <w:rStyle w:val="FootnoteReference"/>
          <w:lang w:val="en-GB"/>
        </w:rPr>
        <w:footnoteRef/>
      </w:r>
      <w:r w:rsidRPr="00CF6D30" w:rsidR="00A06CB8">
        <w:rPr>
          <w:lang w:val="en-GB"/>
        </w:rPr>
        <w:tab/>
      </w:r>
      <w:hyperlink w:history="1" r:id="rId4">
        <w:r w:rsidRPr="00CF6D30" w:rsidR="00A06CB8">
          <w:rPr>
            <w:rStyle w:val="Hyperlink"/>
            <w:lang w:val="en-GB"/>
          </w:rPr>
          <w:t>https://www.eiturbanmobility.eu/%C2%B115-minute-city-human-centred-planning-in-action/</w:t>
        </w:r>
      </w:hyperlink>
    </w:p>
  </w:footnote>
  <w:footnote w:id="5">
    <w:p w:rsidRPr="00F940B1" w:rsidR="00DD11FC" w:rsidRDefault="00DD11FC" w14:paraId="37BE5DB7" w14:textId="4F5BBAB1">
      <w:pPr>
        <w:pStyle w:val="FootnoteText"/>
        <w:rPr>
          <w:lang w:val="en-GB"/>
        </w:rPr>
      </w:pPr>
      <w:r>
        <w:rPr>
          <w:rStyle w:val="FootnoteReference"/>
        </w:rPr>
        <w:footnoteRef/>
      </w:r>
      <w:r>
        <w:t xml:space="preserve"> </w:t>
      </w:r>
      <w:r>
        <w:rPr>
          <w:lang w:val="en-GB"/>
        </w:rPr>
        <w:tab/>
      </w:r>
      <w:hyperlink w:history="1" r:id="rId5">
        <w:r w:rsidRPr="0042592E">
          <w:rPr>
            <w:rStyle w:val="Hyperlink"/>
            <w:lang w:val="en-GB"/>
          </w:rPr>
          <w:t>https://apps.who.int/iris/bitstream/handle/10665/342931/9789289055666-eng.pdf?sequence=1&amp;isAllowed=</w:t>
        </w:r>
      </w:hyperlink>
      <w:r w:rsidRPr="00DD11FC">
        <w:rPr>
          <w:lang w:val="en-GB"/>
        </w:rPr>
        <w:t>y</w:t>
      </w:r>
    </w:p>
  </w:footnote>
  <w:footnote w:id="6">
    <w:p w:rsidRPr="00F940B1" w:rsidR="006D628B" w:rsidRDefault="006D628B" w14:paraId="0AFE8748" w14:textId="557710C3">
      <w:pPr>
        <w:pStyle w:val="FootnoteText"/>
        <w:rPr>
          <w:lang w:val="en-GB"/>
        </w:rPr>
      </w:pPr>
      <w:r>
        <w:rPr>
          <w:rStyle w:val="FootnoteReference"/>
        </w:rPr>
        <w:footnoteRef/>
      </w:r>
      <w:r>
        <w:t xml:space="preserve"> </w:t>
      </w:r>
      <w:r>
        <w:rPr>
          <w:lang w:val="en-GB"/>
        </w:rPr>
        <w:tab/>
      </w:r>
      <w:hyperlink w:history="1" r:id="rId6">
        <w:r w:rsidRPr="00FD215D" w:rsidR="00FD21C8">
          <w:rPr>
            <w:rStyle w:val="Hyperlink"/>
            <w:lang w:val="en-GB"/>
          </w:rPr>
          <w:t>Communication on the EU roadmap to fight drug trafficking and organised crime_en.pdf</w:t>
        </w:r>
      </w:hyperlink>
    </w:p>
  </w:footnote>
  <w:footnote w:id="7">
    <w:p w:rsidRPr="00F940B1" w:rsidR="006B3311" w:rsidRDefault="006B3311" w14:paraId="518CE6BD" w14:textId="6708A26A">
      <w:pPr>
        <w:pStyle w:val="FootnoteText"/>
        <w:rPr>
          <w:lang w:val="en-GB"/>
        </w:rPr>
      </w:pPr>
      <w:r>
        <w:rPr>
          <w:rStyle w:val="FootnoteReference"/>
        </w:rPr>
        <w:footnoteRef/>
      </w:r>
      <w:r>
        <w:t xml:space="preserve"> </w:t>
      </w:r>
      <w:r>
        <w:rPr>
          <w:lang w:val="en-GB"/>
        </w:rPr>
        <w:tab/>
      </w:r>
      <w:hyperlink w:history="1" r:id="rId7">
        <w:r w:rsidRPr="0042592E" w:rsidR="007D6544">
          <w:rPr>
            <w:rStyle w:val="Hyperlink"/>
            <w:lang w:val="en-GB"/>
          </w:rPr>
          <w:t>https://www.emcdda.europa.eu/index_en</w:t>
        </w:r>
      </w:hyperlink>
    </w:p>
  </w:footnote>
  <w:footnote w:id="8">
    <w:p w:rsidRPr="00CF6D30" w:rsidR="00760EEB" w:rsidP="00C73A89" w:rsidRDefault="00760EEB" w14:paraId="1F018A56" w14:textId="527FDA10">
      <w:pPr>
        <w:pStyle w:val="FootnoteText"/>
        <w:rPr>
          <w:lang w:val="en-GB"/>
        </w:rPr>
      </w:pPr>
      <w:r w:rsidRPr="00CF6D30">
        <w:rPr>
          <w:rStyle w:val="FootnoteReference"/>
          <w:lang w:val="en-GB"/>
        </w:rPr>
        <w:footnoteRef/>
      </w:r>
      <w:r w:rsidRPr="00CF6D30">
        <w:rPr>
          <w:lang w:val="en-GB"/>
        </w:rPr>
        <w:t xml:space="preserve"> </w:t>
      </w:r>
      <w:r w:rsidRPr="00CF6D30">
        <w:rPr>
          <w:lang w:val="en-GB"/>
        </w:rPr>
        <w:tab/>
      </w:r>
      <w:hyperlink w:history="1" r:id="rId8">
        <w:r w:rsidRPr="00CF6D30" w:rsidR="00C73A89">
          <w:rPr>
            <w:rStyle w:val="Hyperlink"/>
            <w:lang w:val="en-GB"/>
          </w:rPr>
          <w:t>OJ C 306, 15.9.2017</w:t>
        </w:r>
        <w:r w:rsidRPr="001560D2" w:rsidR="00C73A89">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B93683" w:rsidR="00B93683" w:rsidP="00B93683" w:rsidRDefault="00B93683" w14:paraId="513B022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B93683" w:rsidR="00B93683" w:rsidP="00B93683" w:rsidRDefault="00B93683" w14:paraId="1A9FDE4E" w14:textId="78A4AB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B93683" w:rsidR="00B93683" w:rsidP="00B93683" w:rsidRDefault="00B93683" w14:paraId="6C48F5EE"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B93683" w:rsidR="007C5583" w:rsidP="00B93683" w:rsidRDefault="007C5583" w14:paraId="2DDD6DF0"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B93683" w:rsidR="007C5583" w:rsidP="00B93683" w:rsidRDefault="007C5583" w14:paraId="3E935832" w14:textId="407DE27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B93683" w:rsidR="007C5583" w:rsidP="00B93683" w:rsidRDefault="007C5583" w14:paraId="48EA9BD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FAD1930"/>
    <w:multiLevelType w:val="hybridMultilevel"/>
    <w:tmpl w:val="FDE26A22"/>
    <w:lvl w:ilvl="0" w:tplc="6C1CDFA4">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054697D"/>
    <w:multiLevelType w:val="hybridMultilevel"/>
    <w:tmpl w:val="7576BDE0"/>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960A7F"/>
    <w:multiLevelType w:val="hybridMultilevel"/>
    <w:tmpl w:val="B9D25A84"/>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CB5CC8"/>
    <w:multiLevelType w:val="hybridMultilevel"/>
    <w:tmpl w:val="E42E49C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97B0160"/>
    <w:multiLevelType w:val="hybridMultilevel"/>
    <w:tmpl w:val="E9C829A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2F068B"/>
    <w:multiLevelType w:val="hybridMultilevel"/>
    <w:tmpl w:val="5FF4B0F8"/>
    <w:lvl w:ilvl="0" w:tplc="080C000F">
      <w:start w:val="1"/>
      <w:numFmt w:val="decimal"/>
      <w:lvlText w:val="%1."/>
      <w:lvlJc w:val="left"/>
      <w:pPr>
        <w:ind w:left="1287" w:hanging="360"/>
      </w:pPr>
    </w:lvl>
    <w:lvl w:ilvl="1" w:tplc="080C0019" w:tentative="1">
      <w:start w:val="1"/>
      <w:numFmt w:val="lowerLetter"/>
      <w:lvlText w:val="%2."/>
      <w:lvlJc w:val="left"/>
      <w:pPr>
        <w:ind w:left="2007" w:hanging="360"/>
      </w:pPr>
    </w:lvl>
    <w:lvl w:ilvl="2" w:tplc="080C001B" w:tentative="1">
      <w:start w:val="1"/>
      <w:numFmt w:val="lowerRoman"/>
      <w:lvlText w:val="%3."/>
      <w:lvlJc w:val="right"/>
      <w:pPr>
        <w:ind w:left="2727" w:hanging="180"/>
      </w:pPr>
    </w:lvl>
    <w:lvl w:ilvl="3" w:tplc="080C000F" w:tentative="1">
      <w:start w:val="1"/>
      <w:numFmt w:val="decimal"/>
      <w:lvlText w:val="%4."/>
      <w:lvlJc w:val="left"/>
      <w:pPr>
        <w:ind w:left="3447" w:hanging="360"/>
      </w:pPr>
    </w:lvl>
    <w:lvl w:ilvl="4" w:tplc="080C0019" w:tentative="1">
      <w:start w:val="1"/>
      <w:numFmt w:val="lowerLetter"/>
      <w:lvlText w:val="%5."/>
      <w:lvlJc w:val="left"/>
      <w:pPr>
        <w:ind w:left="4167" w:hanging="360"/>
      </w:pPr>
    </w:lvl>
    <w:lvl w:ilvl="5" w:tplc="080C001B" w:tentative="1">
      <w:start w:val="1"/>
      <w:numFmt w:val="lowerRoman"/>
      <w:lvlText w:val="%6."/>
      <w:lvlJc w:val="right"/>
      <w:pPr>
        <w:ind w:left="4887" w:hanging="180"/>
      </w:pPr>
    </w:lvl>
    <w:lvl w:ilvl="6" w:tplc="080C000F" w:tentative="1">
      <w:start w:val="1"/>
      <w:numFmt w:val="decimal"/>
      <w:lvlText w:val="%7."/>
      <w:lvlJc w:val="left"/>
      <w:pPr>
        <w:ind w:left="5607" w:hanging="360"/>
      </w:pPr>
    </w:lvl>
    <w:lvl w:ilvl="7" w:tplc="080C0019" w:tentative="1">
      <w:start w:val="1"/>
      <w:numFmt w:val="lowerLetter"/>
      <w:lvlText w:val="%8."/>
      <w:lvlJc w:val="left"/>
      <w:pPr>
        <w:ind w:left="6327" w:hanging="360"/>
      </w:pPr>
    </w:lvl>
    <w:lvl w:ilvl="8" w:tplc="080C001B" w:tentative="1">
      <w:start w:val="1"/>
      <w:numFmt w:val="lowerRoman"/>
      <w:lvlText w:val="%9."/>
      <w:lvlJc w:val="right"/>
      <w:pPr>
        <w:ind w:left="7047" w:hanging="180"/>
      </w:pPr>
    </w:lvl>
  </w:abstractNum>
  <w:abstractNum w:abstractNumId="7"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E7D78EF"/>
    <w:multiLevelType w:val="hybridMultilevel"/>
    <w:tmpl w:val="51AA6D0A"/>
    <w:lvl w:ilvl="0" w:tplc="23969108">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6D6FF8"/>
    <w:multiLevelType w:val="hybridMultilevel"/>
    <w:tmpl w:val="ABC66076"/>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357B7A"/>
    <w:multiLevelType w:val="hybridMultilevel"/>
    <w:tmpl w:val="51AA6D0A"/>
    <w:lvl w:ilvl="0" w:tplc="8BFAA160">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873532"/>
    <w:multiLevelType w:val="hybridMultilevel"/>
    <w:tmpl w:val="D69CB1B8"/>
    <w:lvl w:ilvl="0" w:tplc="14D8F794">
      <w:start w:val="2"/>
      <w:numFmt w:val="upperRoman"/>
      <w:lvlText w:val="%1."/>
      <w:lvlJc w:val="left"/>
      <w:pPr>
        <w:ind w:left="36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4C227B42"/>
    <w:multiLevelType w:val="hybridMultilevel"/>
    <w:tmpl w:val="D7C6597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DD7FDC"/>
    <w:multiLevelType w:val="hybridMultilevel"/>
    <w:tmpl w:val="BA58756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59C65A12"/>
    <w:multiLevelType w:val="hybridMultilevel"/>
    <w:tmpl w:val="36164AD6"/>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FA610B"/>
    <w:multiLevelType w:val="hybridMultilevel"/>
    <w:tmpl w:val="413859F4"/>
    <w:lvl w:ilvl="0" w:tplc="A68E0F82">
      <w:start w:val="1"/>
      <w:numFmt w:val="upperRoman"/>
      <w:lvlText w:val="%1."/>
      <w:lvlJc w:val="left"/>
      <w:pPr>
        <w:ind w:left="36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65D91568"/>
    <w:multiLevelType w:val="hybridMultilevel"/>
    <w:tmpl w:val="F4DE7EBC"/>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3BC5746"/>
    <w:multiLevelType w:val="hybridMultilevel"/>
    <w:tmpl w:val="B6E4F860"/>
    <w:lvl w:ilvl="0" w:tplc="83447096">
      <w:start w:val="1"/>
      <w:numFmt w:val="upperRoman"/>
      <w:lvlText w:val="%1."/>
      <w:lvlJc w:val="left"/>
      <w:pPr>
        <w:ind w:left="360" w:hanging="360"/>
      </w:pPr>
      <w:rPr>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7"/>
  </w:num>
  <w:num w:numId="3">
    <w:abstractNumId w:val="17"/>
  </w:num>
  <w:num w:numId="4">
    <w:abstractNumId w:val="8"/>
  </w:num>
  <w:num w:numId="5">
    <w:abstractNumId w:val="10"/>
  </w:num>
  <w:num w:numId="6">
    <w:abstractNumId w:val="5"/>
  </w:num>
  <w:num w:numId="7">
    <w:abstractNumId w:val="2"/>
  </w:num>
  <w:num w:numId="8">
    <w:abstractNumId w:val="16"/>
  </w:num>
  <w:num w:numId="9">
    <w:abstractNumId w:val="12"/>
  </w:num>
  <w:num w:numId="10">
    <w:abstractNumId w:val="14"/>
  </w:num>
  <w:num w:numId="11">
    <w:abstractNumId w:val="3"/>
  </w:num>
  <w:num w:numId="12">
    <w:abstractNumId w:val="9"/>
  </w:num>
  <w:num w:numId="13">
    <w:abstractNumId w:val="18"/>
  </w:num>
  <w:num w:numId="14">
    <w:abstractNumId w:val="1"/>
  </w:num>
  <w:num w:numId="15">
    <w:abstractNumId w:val="15"/>
  </w:num>
  <w:num w:numId="16">
    <w:abstractNumId w:val="11"/>
  </w:num>
  <w:num w:numId="17">
    <w:abstractNumId w:val="13"/>
  </w:num>
  <w:num w:numId="18">
    <w:abstractNumId w:val="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B94"/>
    <w:rsid w:val="00011EC1"/>
    <w:rsid w:val="00020D7F"/>
    <w:rsid w:val="000273A5"/>
    <w:rsid w:val="00034B79"/>
    <w:rsid w:val="00047A38"/>
    <w:rsid w:val="000615B3"/>
    <w:rsid w:val="000672B1"/>
    <w:rsid w:val="00067BA8"/>
    <w:rsid w:val="00083AE8"/>
    <w:rsid w:val="000B74D3"/>
    <w:rsid w:val="000C1ADF"/>
    <w:rsid w:val="000C2677"/>
    <w:rsid w:val="000C3BC1"/>
    <w:rsid w:val="000C548F"/>
    <w:rsid w:val="000D628F"/>
    <w:rsid w:val="000D6A84"/>
    <w:rsid w:val="000F2CDA"/>
    <w:rsid w:val="000F67B3"/>
    <w:rsid w:val="00101304"/>
    <w:rsid w:val="00101FBB"/>
    <w:rsid w:val="00112E32"/>
    <w:rsid w:val="0012190B"/>
    <w:rsid w:val="00124827"/>
    <w:rsid w:val="00130014"/>
    <w:rsid w:val="001363AB"/>
    <w:rsid w:val="00141297"/>
    <w:rsid w:val="001560D2"/>
    <w:rsid w:val="0015645B"/>
    <w:rsid w:val="00183EE2"/>
    <w:rsid w:val="001B33A4"/>
    <w:rsid w:val="001B7A7C"/>
    <w:rsid w:val="001C00AF"/>
    <w:rsid w:val="001C66A9"/>
    <w:rsid w:val="001C6AA9"/>
    <w:rsid w:val="001D04D0"/>
    <w:rsid w:val="001D6E9D"/>
    <w:rsid w:val="001E4DBA"/>
    <w:rsid w:val="001E5620"/>
    <w:rsid w:val="001F1AB8"/>
    <w:rsid w:val="001F2E78"/>
    <w:rsid w:val="002033F5"/>
    <w:rsid w:val="002054D0"/>
    <w:rsid w:val="00215DDA"/>
    <w:rsid w:val="002221AE"/>
    <w:rsid w:val="00225549"/>
    <w:rsid w:val="002302F1"/>
    <w:rsid w:val="002343E6"/>
    <w:rsid w:val="00241D54"/>
    <w:rsid w:val="00253FE2"/>
    <w:rsid w:val="00254B94"/>
    <w:rsid w:val="002624A3"/>
    <w:rsid w:val="0026767E"/>
    <w:rsid w:val="00276758"/>
    <w:rsid w:val="002928C5"/>
    <w:rsid w:val="00293319"/>
    <w:rsid w:val="002A0A42"/>
    <w:rsid w:val="002A67BF"/>
    <w:rsid w:val="002B1E5E"/>
    <w:rsid w:val="002C16C5"/>
    <w:rsid w:val="002C22B2"/>
    <w:rsid w:val="002D4E68"/>
    <w:rsid w:val="002D618D"/>
    <w:rsid w:val="002F03D6"/>
    <w:rsid w:val="00303012"/>
    <w:rsid w:val="00305F18"/>
    <w:rsid w:val="003062EC"/>
    <w:rsid w:val="0031162E"/>
    <w:rsid w:val="003216CB"/>
    <w:rsid w:val="00322488"/>
    <w:rsid w:val="00326F79"/>
    <w:rsid w:val="00334D96"/>
    <w:rsid w:val="0033537E"/>
    <w:rsid w:val="00344069"/>
    <w:rsid w:val="003563A4"/>
    <w:rsid w:val="00360894"/>
    <w:rsid w:val="00367564"/>
    <w:rsid w:val="00373ED4"/>
    <w:rsid w:val="003751AB"/>
    <w:rsid w:val="00383975"/>
    <w:rsid w:val="003A043C"/>
    <w:rsid w:val="003B0723"/>
    <w:rsid w:val="003B1C77"/>
    <w:rsid w:val="003C0F98"/>
    <w:rsid w:val="003E164D"/>
    <w:rsid w:val="003E1CB2"/>
    <w:rsid w:val="003E1DB3"/>
    <w:rsid w:val="003E420C"/>
    <w:rsid w:val="003F2F42"/>
    <w:rsid w:val="00401875"/>
    <w:rsid w:val="00406724"/>
    <w:rsid w:val="0041779D"/>
    <w:rsid w:val="0042014D"/>
    <w:rsid w:val="004336B4"/>
    <w:rsid w:val="00444A98"/>
    <w:rsid w:val="00454AD9"/>
    <w:rsid w:val="00475484"/>
    <w:rsid w:val="00495B9D"/>
    <w:rsid w:val="004A0C7C"/>
    <w:rsid w:val="004A41CF"/>
    <w:rsid w:val="004B33AE"/>
    <w:rsid w:val="004C0914"/>
    <w:rsid w:val="004C545D"/>
    <w:rsid w:val="004D4F98"/>
    <w:rsid w:val="004E20DF"/>
    <w:rsid w:val="004E605D"/>
    <w:rsid w:val="004F3FD9"/>
    <w:rsid w:val="00541273"/>
    <w:rsid w:val="00541AB8"/>
    <w:rsid w:val="00556D18"/>
    <w:rsid w:val="00557BB7"/>
    <w:rsid w:val="00575FC1"/>
    <w:rsid w:val="00583866"/>
    <w:rsid w:val="005918A5"/>
    <w:rsid w:val="005A41BB"/>
    <w:rsid w:val="005A7F8D"/>
    <w:rsid w:val="005B2905"/>
    <w:rsid w:val="005C1067"/>
    <w:rsid w:val="005C36CD"/>
    <w:rsid w:val="005C4B78"/>
    <w:rsid w:val="005C4F1C"/>
    <w:rsid w:val="005D31A6"/>
    <w:rsid w:val="005E4F1E"/>
    <w:rsid w:val="005E58C7"/>
    <w:rsid w:val="005E7EE9"/>
    <w:rsid w:val="00602E37"/>
    <w:rsid w:val="00611921"/>
    <w:rsid w:val="006178E4"/>
    <w:rsid w:val="0062072B"/>
    <w:rsid w:val="006311E4"/>
    <w:rsid w:val="006568D0"/>
    <w:rsid w:val="00657E44"/>
    <w:rsid w:val="00666EAD"/>
    <w:rsid w:val="006A4A0A"/>
    <w:rsid w:val="006B3311"/>
    <w:rsid w:val="006D0087"/>
    <w:rsid w:val="006D2243"/>
    <w:rsid w:val="006D628B"/>
    <w:rsid w:val="006D78CA"/>
    <w:rsid w:val="006F18D0"/>
    <w:rsid w:val="006F7114"/>
    <w:rsid w:val="00720994"/>
    <w:rsid w:val="00720EFB"/>
    <w:rsid w:val="00724CA1"/>
    <w:rsid w:val="00753233"/>
    <w:rsid w:val="0075508D"/>
    <w:rsid w:val="007578F9"/>
    <w:rsid w:val="00760EEB"/>
    <w:rsid w:val="00776CF0"/>
    <w:rsid w:val="007800CE"/>
    <w:rsid w:val="00785967"/>
    <w:rsid w:val="00794865"/>
    <w:rsid w:val="007A6D76"/>
    <w:rsid w:val="007B10B2"/>
    <w:rsid w:val="007B2E4D"/>
    <w:rsid w:val="007B69A5"/>
    <w:rsid w:val="007C07FD"/>
    <w:rsid w:val="007C5583"/>
    <w:rsid w:val="007D15C9"/>
    <w:rsid w:val="007D433F"/>
    <w:rsid w:val="007D6544"/>
    <w:rsid w:val="007D6A14"/>
    <w:rsid w:val="007E1925"/>
    <w:rsid w:val="007F0079"/>
    <w:rsid w:val="007F09AA"/>
    <w:rsid w:val="007F292E"/>
    <w:rsid w:val="007F68C4"/>
    <w:rsid w:val="0080354B"/>
    <w:rsid w:val="00807C37"/>
    <w:rsid w:val="00810512"/>
    <w:rsid w:val="00812799"/>
    <w:rsid w:val="00814EF3"/>
    <w:rsid w:val="008224B6"/>
    <w:rsid w:val="00833F4B"/>
    <w:rsid w:val="00836B93"/>
    <w:rsid w:val="00837FA5"/>
    <w:rsid w:val="00847E17"/>
    <w:rsid w:val="00851AB8"/>
    <w:rsid w:val="00864674"/>
    <w:rsid w:val="00866F5C"/>
    <w:rsid w:val="00880D1A"/>
    <w:rsid w:val="008B2899"/>
    <w:rsid w:val="008B3AAC"/>
    <w:rsid w:val="008D13EE"/>
    <w:rsid w:val="008D3638"/>
    <w:rsid w:val="008D5CBC"/>
    <w:rsid w:val="008E6066"/>
    <w:rsid w:val="00913B7D"/>
    <w:rsid w:val="00931F44"/>
    <w:rsid w:val="009352AE"/>
    <w:rsid w:val="00953DF7"/>
    <w:rsid w:val="00970CBF"/>
    <w:rsid w:val="009A16C1"/>
    <w:rsid w:val="009A3522"/>
    <w:rsid w:val="009A6E15"/>
    <w:rsid w:val="009B01F7"/>
    <w:rsid w:val="009C3C05"/>
    <w:rsid w:val="009F0B69"/>
    <w:rsid w:val="009F7D37"/>
    <w:rsid w:val="00A012E5"/>
    <w:rsid w:val="00A06CB8"/>
    <w:rsid w:val="00A106BA"/>
    <w:rsid w:val="00A21839"/>
    <w:rsid w:val="00A402C8"/>
    <w:rsid w:val="00A418F8"/>
    <w:rsid w:val="00A511DF"/>
    <w:rsid w:val="00A55605"/>
    <w:rsid w:val="00A560C3"/>
    <w:rsid w:val="00A72839"/>
    <w:rsid w:val="00A84676"/>
    <w:rsid w:val="00A911A9"/>
    <w:rsid w:val="00A91F95"/>
    <w:rsid w:val="00AA77B1"/>
    <w:rsid w:val="00AB0937"/>
    <w:rsid w:val="00AD56E6"/>
    <w:rsid w:val="00AE2CDB"/>
    <w:rsid w:val="00AE4401"/>
    <w:rsid w:val="00B33430"/>
    <w:rsid w:val="00B550BC"/>
    <w:rsid w:val="00B65DB1"/>
    <w:rsid w:val="00B71925"/>
    <w:rsid w:val="00B735E2"/>
    <w:rsid w:val="00B93683"/>
    <w:rsid w:val="00BB0D03"/>
    <w:rsid w:val="00BB4B32"/>
    <w:rsid w:val="00BB7CA3"/>
    <w:rsid w:val="00BE061F"/>
    <w:rsid w:val="00BE3E20"/>
    <w:rsid w:val="00BF7AE7"/>
    <w:rsid w:val="00C3552F"/>
    <w:rsid w:val="00C639CA"/>
    <w:rsid w:val="00C6462E"/>
    <w:rsid w:val="00C71B10"/>
    <w:rsid w:val="00C73A89"/>
    <w:rsid w:val="00C82639"/>
    <w:rsid w:val="00C87E1A"/>
    <w:rsid w:val="00CA6B49"/>
    <w:rsid w:val="00CB1531"/>
    <w:rsid w:val="00CB7BAE"/>
    <w:rsid w:val="00CC3738"/>
    <w:rsid w:val="00CC5E0A"/>
    <w:rsid w:val="00CE35D8"/>
    <w:rsid w:val="00CE5929"/>
    <w:rsid w:val="00CE7F07"/>
    <w:rsid w:val="00CF65AA"/>
    <w:rsid w:val="00CF6D30"/>
    <w:rsid w:val="00D111AB"/>
    <w:rsid w:val="00D14737"/>
    <w:rsid w:val="00D159E8"/>
    <w:rsid w:val="00D166BB"/>
    <w:rsid w:val="00D33000"/>
    <w:rsid w:val="00D336CE"/>
    <w:rsid w:val="00D34DDA"/>
    <w:rsid w:val="00D46F0D"/>
    <w:rsid w:val="00D531BD"/>
    <w:rsid w:val="00D718BD"/>
    <w:rsid w:val="00D819CF"/>
    <w:rsid w:val="00D93497"/>
    <w:rsid w:val="00DA0453"/>
    <w:rsid w:val="00DA085F"/>
    <w:rsid w:val="00DA0CBE"/>
    <w:rsid w:val="00DA3DEA"/>
    <w:rsid w:val="00DA7BD7"/>
    <w:rsid w:val="00DB0640"/>
    <w:rsid w:val="00DB7738"/>
    <w:rsid w:val="00DC2852"/>
    <w:rsid w:val="00DC55CB"/>
    <w:rsid w:val="00DD11FC"/>
    <w:rsid w:val="00DD66B3"/>
    <w:rsid w:val="00DE26BC"/>
    <w:rsid w:val="00DE4698"/>
    <w:rsid w:val="00DE5160"/>
    <w:rsid w:val="00DE664B"/>
    <w:rsid w:val="00DF5986"/>
    <w:rsid w:val="00DF7D46"/>
    <w:rsid w:val="00E203BB"/>
    <w:rsid w:val="00E24DCC"/>
    <w:rsid w:val="00E3042A"/>
    <w:rsid w:val="00E30D3A"/>
    <w:rsid w:val="00E41505"/>
    <w:rsid w:val="00E5124E"/>
    <w:rsid w:val="00E52232"/>
    <w:rsid w:val="00E5664A"/>
    <w:rsid w:val="00E67837"/>
    <w:rsid w:val="00E83AE3"/>
    <w:rsid w:val="00E83E7B"/>
    <w:rsid w:val="00E85C89"/>
    <w:rsid w:val="00EB02D5"/>
    <w:rsid w:val="00EB2E3A"/>
    <w:rsid w:val="00EB3B52"/>
    <w:rsid w:val="00EC1F0D"/>
    <w:rsid w:val="00ED55A4"/>
    <w:rsid w:val="00EE0C97"/>
    <w:rsid w:val="00EE1396"/>
    <w:rsid w:val="00EF08E1"/>
    <w:rsid w:val="00EF0D0B"/>
    <w:rsid w:val="00EF294E"/>
    <w:rsid w:val="00F040D9"/>
    <w:rsid w:val="00F10A53"/>
    <w:rsid w:val="00F367F6"/>
    <w:rsid w:val="00F40F26"/>
    <w:rsid w:val="00F42EDA"/>
    <w:rsid w:val="00F446B5"/>
    <w:rsid w:val="00F45402"/>
    <w:rsid w:val="00F55286"/>
    <w:rsid w:val="00F70C03"/>
    <w:rsid w:val="00F75A5B"/>
    <w:rsid w:val="00F7652E"/>
    <w:rsid w:val="00F84BCE"/>
    <w:rsid w:val="00F85741"/>
    <w:rsid w:val="00F90F5A"/>
    <w:rsid w:val="00F923F6"/>
    <w:rsid w:val="00F940B1"/>
    <w:rsid w:val="00F96AF0"/>
    <w:rsid w:val="00FA1EEE"/>
    <w:rsid w:val="00FA372C"/>
    <w:rsid w:val="00FA4DC0"/>
    <w:rsid w:val="00FB6171"/>
    <w:rsid w:val="00FD215D"/>
    <w:rsid w:val="00FD21C8"/>
    <w:rsid w:val="00FE7B56"/>
    <w:rsid w:val="00FF53DC"/>
    <w:rsid w:val="00FF695E"/>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487828"/>
  <w15:docId w15:val="{984669C0-AB7B-4E4C-9D64-E45C862EB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A38"/>
    <w:pPr>
      <w:spacing w:line="288" w:lineRule="auto"/>
      <w:jc w:val="both"/>
    </w:pPr>
    <w:rPr>
      <w:sz w:val="22"/>
      <w:szCs w:val="22"/>
      <w:lang w:val="en-US" w:eastAsia="en-US"/>
    </w:rPr>
  </w:style>
  <w:style w:type="paragraph" w:styleId="Heading1">
    <w:name w:val="heading 1"/>
    <w:basedOn w:val="Normal"/>
    <w:next w:val="Normal"/>
    <w:link w:val="Heading1Char"/>
    <w:qFormat/>
    <w:rsid w:val="00047A38"/>
    <w:pPr>
      <w:numPr>
        <w:numId w:val="1"/>
      </w:numPr>
      <w:ind w:left="567" w:hanging="567"/>
      <w:outlineLvl w:val="0"/>
    </w:pPr>
    <w:rPr>
      <w:kern w:val="28"/>
    </w:rPr>
  </w:style>
  <w:style w:type="paragraph" w:styleId="Heading2">
    <w:name w:val="heading 2"/>
    <w:basedOn w:val="Normal"/>
    <w:next w:val="Normal"/>
    <w:link w:val="Heading2Char"/>
    <w:qFormat/>
    <w:rsid w:val="00047A38"/>
    <w:pPr>
      <w:numPr>
        <w:ilvl w:val="1"/>
        <w:numId w:val="1"/>
      </w:numPr>
      <w:ind w:left="567" w:hanging="567"/>
      <w:outlineLvl w:val="1"/>
    </w:pPr>
  </w:style>
  <w:style w:type="paragraph" w:styleId="Heading3">
    <w:name w:val="heading 3"/>
    <w:basedOn w:val="Normal"/>
    <w:next w:val="Normal"/>
    <w:link w:val="Heading3Char"/>
    <w:qFormat/>
    <w:rsid w:val="00047A38"/>
    <w:pPr>
      <w:numPr>
        <w:ilvl w:val="2"/>
        <w:numId w:val="1"/>
      </w:numPr>
      <w:ind w:left="567" w:hanging="567"/>
      <w:outlineLvl w:val="2"/>
    </w:pPr>
  </w:style>
  <w:style w:type="paragraph" w:styleId="Heading4">
    <w:name w:val="heading 4"/>
    <w:basedOn w:val="Normal"/>
    <w:next w:val="Normal"/>
    <w:link w:val="Heading4Char"/>
    <w:qFormat/>
    <w:rsid w:val="00047A38"/>
    <w:pPr>
      <w:numPr>
        <w:ilvl w:val="3"/>
        <w:numId w:val="1"/>
      </w:numPr>
      <w:ind w:left="567" w:hanging="567"/>
      <w:outlineLvl w:val="3"/>
    </w:pPr>
  </w:style>
  <w:style w:type="paragraph" w:styleId="Heading5">
    <w:name w:val="heading 5"/>
    <w:basedOn w:val="Normal"/>
    <w:next w:val="Normal"/>
    <w:link w:val="Heading5Char"/>
    <w:qFormat/>
    <w:rsid w:val="00047A38"/>
    <w:pPr>
      <w:numPr>
        <w:ilvl w:val="4"/>
        <w:numId w:val="1"/>
      </w:numPr>
      <w:ind w:left="567" w:hanging="567"/>
      <w:outlineLvl w:val="4"/>
    </w:pPr>
  </w:style>
  <w:style w:type="paragraph" w:styleId="Heading6">
    <w:name w:val="heading 6"/>
    <w:basedOn w:val="Normal"/>
    <w:next w:val="Normal"/>
    <w:link w:val="Heading6Char"/>
    <w:qFormat/>
    <w:rsid w:val="00047A38"/>
    <w:pPr>
      <w:numPr>
        <w:ilvl w:val="5"/>
        <w:numId w:val="1"/>
      </w:numPr>
      <w:ind w:left="567" w:hanging="567"/>
      <w:outlineLvl w:val="5"/>
    </w:pPr>
  </w:style>
  <w:style w:type="paragraph" w:styleId="Heading7">
    <w:name w:val="heading 7"/>
    <w:basedOn w:val="Normal"/>
    <w:next w:val="Normal"/>
    <w:link w:val="Heading7Char"/>
    <w:qFormat/>
    <w:rsid w:val="00047A38"/>
    <w:pPr>
      <w:numPr>
        <w:ilvl w:val="6"/>
        <w:numId w:val="1"/>
      </w:numPr>
      <w:ind w:left="567" w:hanging="567"/>
      <w:outlineLvl w:val="6"/>
    </w:pPr>
  </w:style>
  <w:style w:type="paragraph" w:styleId="Heading8">
    <w:name w:val="heading 8"/>
    <w:basedOn w:val="Normal"/>
    <w:next w:val="Normal"/>
    <w:link w:val="Heading8Char"/>
    <w:qFormat/>
    <w:rsid w:val="00047A38"/>
    <w:pPr>
      <w:numPr>
        <w:ilvl w:val="7"/>
        <w:numId w:val="1"/>
      </w:numPr>
      <w:ind w:left="567" w:hanging="567"/>
      <w:outlineLvl w:val="7"/>
    </w:pPr>
  </w:style>
  <w:style w:type="paragraph" w:styleId="Heading9">
    <w:name w:val="heading 9"/>
    <w:basedOn w:val="Normal"/>
    <w:next w:val="Normal"/>
    <w:link w:val="Heading9Char"/>
    <w:qFormat/>
    <w:rsid w:val="00047A38"/>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6A8"/>
    <w:rPr>
      <w:kern w:val="28"/>
      <w:sz w:val="22"/>
      <w:szCs w:val="22"/>
      <w:lang w:val="en-US" w:eastAsia="en-US"/>
    </w:rPr>
  </w:style>
  <w:style w:type="character" w:customStyle="1" w:styleId="Heading2Char">
    <w:name w:val="Heading 2 Char"/>
    <w:basedOn w:val="DefaultParagraphFont"/>
    <w:link w:val="Heading2"/>
    <w:rsid w:val="009D66A8"/>
    <w:rPr>
      <w:sz w:val="22"/>
      <w:szCs w:val="22"/>
      <w:lang w:val="en-US" w:eastAsia="en-US"/>
    </w:rPr>
  </w:style>
  <w:style w:type="character" w:customStyle="1" w:styleId="Heading3Char">
    <w:name w:val="Heading 3 Char"/>
    <w:basedOn w:val="DefaultParagraphFont"/>
    <w:link w:val="Heading3"/>
    <w:rsid w:val="009D66A8"/>
    <w:rPr>
      <w:sz w:val="22"/>
      <w:szCs w:val="22"/>
      <w:lang w:val="en-US" w:eastAsia="en-US"/>
    </w:rPr>
  </w:style>
  <w:style w:type="character" w:customStyle="1" w:styleId="Heading4Char">
    <w:name w:val="Heading 4 Char"/>
    <w:basedOn w:val="DefaultParagraphFont"/>
    <w:link w:val="Heading4"/>
    <w:rsid w:val="009D66A8"/>
    <w:rPr>
      <w:sz w:val="22"/>
      <w:szCs w:val="22"/>
      <w:lang w:val="en-US" w:eastAsia="en-US"/>
    </w:rPr>
  </w:style>
  <w:style w:type="character" w:customStyle="1" w:styleId="Heading5Char">
    <w:name w:val="Heading 5 Char"/>
    <w:basedOn w:val="DefaultParagraphFont"/>
    <w:link w:val="Heading5"/>
    <w:rsid w:val="009D66A8"/>
    <w:rPr>
      <w:sz w:val="22"/>
      <w:szCs w:val="22"/>
      <w:lang w:val="en-US" w:eastAsia="en-US"/>
    </w:rPr>
  </w:style>
  <w:style w:type="character" w:customStyle="1" w:styleId="Heading6Char">
    <w:name w:val="Heading 6 Char"/>
    <w:basedOn w:val="DefaultParagraphFont"/>
    <w:link w:val="Heading6"/>
    <w:rsid w:val="009D66A8"/>
    <w:rPr>
      <w:sz w:val="22"/>
      <w:szCs w:val="22"/>
      <w:lang w:val="en-US" w:eastAsia="en-US"/>
    </w:rPr>
  </w:style>
  <w:style w:type="character" w:customStyle="1" w:styleId="Heading7Char">
    <w:name w:val="Heading 7 Char"/>
    <w:basedOn w:val="DefaultParagraphFont"/>
    <w:link w:val="Heading7"/>
    <w:rsid w:val="009D66A8"/>
    <w:rPr>
      <w:sz w:val="22"/>
      <w:szCs w:val="22"/>
      <w:lang w:val="en-US" w:eastAsia="en-US"/>
    </w:rPr>
  </w:style>
  <w:style w:type="character" w:customStyle="1" w:styleId="Heading8Char">
    <w:name w:val="Heading 8 Char"/>
    <w:basedOn w:val="DefaultParagraphFont"/>
    <w:link w:val="Heading8"/>
    <w:rsid w:val="009D66A8"/>
    <w:rPr>
      <w:sz w:val="22"/>
      <w:szCs w:val="22"/>
      <w:lang w:val="en-US" w:eastAsia="en-US"/>
    </w:rPr>
  </w:style>
  <w:style w:type="character" w:customStyle="1" w:styleId="Heading9Char">
    <w:name w:val="Heading 9 Char"/>
    <w:basedOn w:val="DefaultParagraphFont"/>
    <w:link w:val="Heading9"/>
    <w:rsid w:val="009D66A8"/>
    <w:rPr>
      <w:sz w:val="22"/>
      <w:szCs w:val="22"/>
      <w:lang w:val="en-US" w:eastAsia="en-US"/>
    </w:rPr>
  </w:style>
  <w:style w:type="paragraph" w:styleId="Footer">
    <w:name w:val="footer"/>
    <w:basedOn w:val="Normal"/>
    <w:link w:val="FooterChar"/>
    <w:qFormat/>
    <w:rsid w:val="00047A38"/>
  </w:style>
  <w:style w:type="character" w:customStyle="1" w:styleId="FooterChar">
    <w:name w:val="Footer Char"/>
    <w:basedOn w:val="DefaultParagraphFont"/>
    <w:link w:val="Footer"/>
    <w:rsid w:val="009D66A8"/>
    <w:rPr>
      <w:sz w:val="22"/>
      <w:szCs w:val="22"/>
      <w:lang w:val="en-US" w:eastAsia="en-US"/>
    </w:rPr>
  </w:style>
  <w:style w:type="paragraph" w:styleId="FootnoteText">
    <w:name w:val="footnote text"/>
    <w:basedOn w:val="Normal"/>
    <w:link w:val="FootnoteTextChar"/>
    <w:qFormat/>
    <w:rsid w:val="00047A38"/>
    <w:pPr>
      <w:keepLines/>
      <w:spacing w:after="60" w:line="240" w:lineRule="auto"/>
      <w:ind w:left="567" w:hanging="567"/>
    </w:pPr>
    <w:rPr>
      <w:sz w:val="16"/>
    </w:rPr>
  </w:style>
  <w:style w:type="character" w:customStyle="1" w:styleId="FootnoteTextChar">
    <w:name w:val="Footnote Text Char"/>
    <w:basedOn w:val="DefaultParagraphFont"/>
    <w:link w:val="FootnoteText"/>
    <w:rsid w:val="009D66A8"/>
    <w:rPr>
      <w:sz w:val="16"/>
      <w:szCs w:val="22"/>
      <w:lang w:val="en-US" w:eastAsia="en-US"/>
    </w:rPr>
  </w:style>
  <w:style w:type="paragraph" w:styleId="Header">
    <w:name w:val="header"/>
    <w:basedOn w:val="Normal"/>
    <w:link w:val="HeaderChar"/>
    <w:qFormat/>
    <w:rsid w:val="00047A38"/>
  </w:style>
  <w:style w:type="character" w:customStyle="1" w:styleId="HeaderChar">
    <w:name w:val="Header Char"/>
    <w:basedOn w:val="DefaultParagraphFont"/>
    <w:link w:val="Header"/>
    <w:rsid w:val="009D66A8"/>
    <w:rPr>
      <w:sz w:val="22"/>
      <w:szCs w:val="22"/>
      <w:lang w:val="en-US" w:eastAsia="en-US"/>
    </w:rPr>
  </w:style>
  <w:style w:type="paragraph" w:customStyle="1" w:styleId="quotes">
    <w:name w:val="quotes"/>
    <w:basedOn w:val="Normal"/>
    <w:next w:val="Normal"/>
    <w:rsid w:val="00047A38"/>
    <w:pPr>
      <w:ind w:left="720"/>
    </w:pPr>
    <w:rPr>
      <w:i/>
    </w:rPr>
  </w:style>
  <w:style w:type="character" w:styleId="Hyperlink">
    <w:name w:val="Hyperlink"/>
    <w:basedOn w:val="DefaultParagraphFont"/>
    <w:uiPriority w:val="99"/>
    <w:rPr>
      <w:color w:val="0000FF"/>
      <w:u w:val="single"/>
    </w:rPr>
  </w:style>
  <w:style w:type="character" w:styleId="FootnoteReference">
    <w:name w:val="footnote reference"/>
    <w:basedOn w:val="DefaultParagraphFont"/>
    <w:unhideWhenUsed/>
    <w:qFormat/>
    <w:rsid w:val="00047A38"/>
    <w:rPr>
      <w:sz w:val="24"/>
      <w:vertAlign w:val="superscript"/>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rsid w:val="00D46F0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46F0D"/>
    <w:rPr>
      <w:rFonts w:ascii="Tahoma" w:hAnsi="Tahoma" w:cs="Tahoma"/>
      <w:sz w:val="16"/>
      <w:szCs w:val="16"/>
      <w:lang w:val="en-GB" w:eastAsia="en-US"/>
    </w:rPr>
  </w:style>
  <w:style w:type="paragraph" w:customStyle="1" w:styleId="LOGO">
    <w:name w:val="LOGO"/>
    <w:basedOn w:val="Normal"/>
    <w:pPr>
      <w:jc w:val="center"/>
    </w:pPr>
    <w:rPr>
      <w:rFonts w:ascii="Arial" w:hAnsi="Arial"/>
      <w:b/>
      <w:i/>
      <w:sz w:val="20"/>
    </w:rPr>
  </w:style>
  <w:style w:type="paragraph" w:styleId="ListParagraph">
    <w:name w:val="List Paragraph"/>
    <w:basedOn w:val="Normal"/>
    <w:uiPriority w:val="34"/>
    <w:qFormat/>
    <w:rsid w:val="00401875"/>
    <w:pPr>
      <w:ind w:left="720"/>
      <w:contextualSpacing/>
    </w:pPr>
  </w:style>
  <w:style w:type="character" w:styleId="CommentReference">
    <w:name w:val="annotation reference"/>
    <w:basedOn w:val="DefaultParagraphFont"/>
    <w:semiHidden/>
    <w:unhideWhenUsed/>
    <w:rsid w:val="00A418F8"/>
    <w:rPr>
      <w:sz w:val="16"/>
      <w:szCs w:val="16"/>
    </w:rPr>
  </w:style>
  <w:style w:type="paragraph" w:styleId="CommentText">
    <w:name w:val="annotation text"/>
    <w:basedOn w:val="Normal"/>
    <w:link w:val="CommentTextChar"/>
    <w:semiHidden/>
    <w:unhideWhenUsed/>
    <w:rsid w:val="00A418F8"/>
    <w:pPr>
      <w:spacing w:line="240" w:lineRule="auto"/>
    </w:pPr>
    <w:rPr>
      <w:sz w:val="20"/>
    </w:rPr>
  </w:style>
  <w:style w:type="character" w:customStyle="1" w:styleId="CommentTextChar">
    <w:name w:val="Comment Text Char"/>
    <w:basedOn w:val="DefaultParagraphFont"/>
    <w:link w:val="CommentText"/>
    <w:semiHidden/>
    <w:rsid w:val="00A418F8"/>
    <w:rPr>
      <w:lang w:val="en-GB" w:eastAsia="en-US"/>
    </w:rPr>
  </w:style>
  <w:style w:type="paragraph" w:styleId="CommentSubject">
    <w:name w:val="annotation subject"/>
    <w:basedOn w:val="CommentText"/>
    <w:next w:val="CommentText"/>
    <w:link w:val="CommentSubjectChar"/>
    <w:semiHidden/>
    <w:unhideWhenUsed/>
    <w:rsid w:val="00A418F8"/>
    <w:rPr>
      <w:b/>
      <w:bCs/>
    </w:rPr>
  </w:style>
  <w:style w:type="character" w:customStyle="1" w:styleId="CommentSubjectChar">
    <w:name w:val="Comment Subject Char"/>
    <w:basedOn w:val="CommentTextChar"/>
    <w:link w:val="CommentSubject"/>
    <w:semiHidden/>
    <w:rsid w:val="00A418F8"/>
    <w:rPr>
      <w:b/>
      <w:bCs/>
      <w:lang w:val="en-GB" w:eastAsia="en-US"/>
    </w:rPr>
  </w:style>
  <w:style w:type="paragraph" w:styleId="Revision">
    <w:name w:val="Revision"/>
    <w:hidden/>
    <w:uiPriority w:val="99"/>
    <w:semiHidden/>
    <w:rsid w:val="00A418F8"/>
    <w:rPr>
      <w:sz w:val="22"/>
      <w:lang w:val="en-GB" w:eastAsia="en-US"/>
    </w:rPr>
  </w:style>
  <w:style w:type="character" w:customStyle="1" w:styleId="UnresolvedMention1">
    <w:name w:val="Unresolved Mention1"/>
    <w:basedOn w:val="DefaultParagraphFont"/>
    <w:uiPriority w:val="99"/>
    <w:semiHidden/>
    <w:unhideWhenUsed/>
    <w:rsid w:val="00F70C03"/>
    <w:rPr>
      <w:color w:val="605E5C"/>
      <w:shd w:val="clear" w:color="auto" w:fill="E1DFDD"/>
    </w:rPr>
  </w:style>
  <w:style w:type="table" w:styleId="TableGrid">
    <w:name w:val="Table Grid"/>
    <w:basedOn w:val="TableNormal"/>
    <w:rsid w:val="00776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DD11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289669">
      <w:bodyDiv w:val="1"/>
      <w:marLeft w:val="0"/>
      <w:marRight w:val="0"/>
      <w:marTop w:val="0"/>
      <w:marBottom w:val="0"/>
      <w:divBdr>
        <w:top w:val="none" w:sz="0" w:space="0" w:color="auto"/>
        <w:left w:val="none" w:sz="0" w:space="0" w:color="auto"/>
        <w:bottom w:val="none" w:sz="0" w:space="0" w:color="auto"/>
        <w:right w:val="none" w:sz="0" w:space="0" w:color="auto"/>
      </w:divBdr>
    </w:div>
    <w:div w:id="209670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ntTable" Target="fontTable.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customXml" Target="../customXml/item3.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header" Target="header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customXml" Target="../customXml/item1.xml"/><Relationship Id="rId30"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uri=CELEX%3A52016IR6620&amp;qid=1693920605788" TargetMode="External"/><Relationship Id="rId3" Type="http://schemas.openxmlformats.org/officeDocument/2006/relationships/hyperlink" Target="https://eur-lex.europa.eu/legal-content/EN/TXT/?uri=uriserv%3AOJ.C_.2021.300.01.0053.01.ENG&amp;toc=OJ%3AC%3A2021%3A300%3AFULL" TargetMode="External"/><Relationship Id="rId7" Type="http://schemas.openxmlformats.org/officeDocument/2006/relationships/hyperlink" Target="https://www.emcdda.europa.eu/index_en" TargetMode="External"/><Relationship Id="rId2" Type="http://schemas.openxmlformats.org/officeDocument/2006/relationships/hyperlink" Target="https://www.eea.europa.eu/themes/human/noise/noise-2" TargetMode="External"/><Relationship Id="rId1" Type="http://schemas.openxmlformats.org/officeDocument/2006/relationships/hyperlink" Target="https://urbact.eu/articles/healthy-cities-embedding-health-urban-planning-policies" TargetMode="External"/><Relationship Id="rId6" Type="http://schemas.openxmlformats.org/officeDocument/2006/relationships/hyperlink" Target="https://eur-lex.europa.eu/legal-content/EN/TXT/?uri=CELEX%3A52023DC0641" TargetMode="External"/><Relationship Id="rId5" Type="http://schemas.openxmlformats.org/officeDocument/2006/relationships/hyperlink" Target="https://apps.who.int/iris/bitstream/handle/10665/342931/9789289055666-eng.pdf?sequence=1&amp;isAllowed=" TargetMode="External"/><Relationship Id="rId4" Type="http://schemas.openxmlformats.org/officeDocument/2006/relationships/hyperlink" Target="https://www.eiturbanmobility.eu/%C2%B115-minute-city-human-centred-planning-in-a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ff9f743-c5e6-45b1-888b-0c3422c38b02">PWMHTDDKQ3QZ-1619428502-6877</_dlc_DocId>
    <_dlc_DocIdUrl xmlns="eff9f743-c5e6-45b1-888b-0c3422c38b02">
      <Url>http://dm/cor/2023/_layouts/15/DocIdRedir.aspx?ID=PWMHTDDKQ3QZ-1619428502-6877</Url>
      <Description>PWMHTDDKQ3QZ-1619428502-6877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eff9f743-c5e6-45b1-888b-0c3422c38b02"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eff9f743-c5e6-45b1-888b-0c3422c38b02">2023-12-01T12:00:00+00:00</ProductionDate>
    <FicheYear xmlns="eff9f743-c5e6-45b1-888b-0c3422c38b02" xsi:nil="true"/>
    <DocumentNumber xmlns="38227f1f-d659-408f-8478-a53a67511d20">2951</DocumentNumber>
    <DossierNumber xmlns="eff9f743-c5e6-45b1-888b-0c3422c38b02">37</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eff9f743-c5e6-45b1-888b-0c3422c38b02" xsi:nil="true"/>
    <TaxCatchAll xmlns="eff9f743-c5e6-45b1-888b-0c3422c38b02">
      <Value>25</Value>
      <Value>38</Value>
      <Value>36</Value>
      <Value>35</Value>
      <Value>33</Value>
      <Value>32</Value>
      <Value>31</Value>
      <Value>119</Value>
      <Value>28</Value>
      <Value>27</Value>
      <Value>26</Value>
      <Value>115</Value>
      <Value>24</Value>
      <Value>23</Value>
      <Value>22</Value>
      <Value>21</Value>
      <Value>20</Value>
      <Value>19</Value>
      <Value>18</Value>
      <Value>17</Value>
      <Value>16</Value>
      <Value>15</Value>
      <Value>14</Value>
      <Value>13</Value>
      <Value>10</Value>
      <Value>7</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eff9f743-c5e6-45b1-888b-0c3422c38b02">BANASZAK</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eff9f743-c5e6-45b1-888b-0c3422c38b02">2023</DocumentYear>
    <FicheNumber xmlns="eff9f743-c5e6-45b1-888b-0c3422c38b02">12087</FicheNumber>
    <OriginalSender xmlns="eff9f743-c5e6-45b1-888b-0c3422c38b02">
      <UserInfo>
        <DisplayName>TDriveSVCUserProd</DisplayName>
        <AccountId>1467</AccountId>
        <AccountType/>
      </UserInfo>
    </OriginalSender>
    <DocumentPart xmlns="eff9f743-c5e6-45b1-888b-0c3422c38b02">0</DocumentPart>
    <AdoptionDate xmlns="eff9f743-c5e6-45b1-888b-0c3422c38b02">2023-11-30T12:00:00+00:00</AdoptionDate>
    <RequestingService xmlns="eff9f743-c5e6-45b1-888b-0c3422c38b02">Commission NAT</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38227f1f-d659-408f-8478-a53a67511d20"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NAT-VII</TermName>
          <TermId xmlns="http://schemas.microsoft.com/office/infopath/2007/PartnerControls">c430e6b7-a42c-4284-b371-0f36990d71ff</TermId>
        </TermInfo>
      </Terms>
    </DossierName_0>
    <DocumentVersion xmlns="eff9f743-c5e6-45b1-888b-0c3422c38b02">0</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3064DEAD25534747849FAAD3F7206549" ma:contentTypeVersion="7" ma:contentTypeDescription="Defines the documents for Document Manager V2" ma:contentTypeScope="" ma:versionID="2f5d2218aa56c78c1e511cf9662a4017">
  <xsd:schema xmlns:xsd="http://www.w3.org/2001/XMLSchema" xmlns:xs="http://www.w3.org/2001/XMLSchema" xmlns:p="http://schemas.microsoft.com/office/2006/metadata/properties" xmlns:ns2="eff9f743-c5e6-45b1-888b-0c3422c38b02" xmlns:ns3="http://schemas.microsoft.com/sharepoint/v3/fields" xmlns:ns4="38227f1f-d659-408f-8478-a53a67511d20" targetNamespace="http://schemas.microsoft.com/office/2006/metadata/properties" ma:root="true" ma:fieldsID="074e9f566918d8fd031ae2cca731a886" ns2:_="" ns3:_="" ns4:_="">
    <xsd:import namespace="eff9f743-c5e6-45b1-888b-0c3422c38b02"/>
    <xsd:import namespace="http://schemas.microsoft.com/sharepoint/v3/fields"/>
    <xsd:import namespace="38227f1f-d659-408f-8478-a53a67511d2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9f743-c5e6-45b1-888b-0c3422c38b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8751358-1c8c-4e10-bba6-66b4f05e7dc9}" ma:internalName="TaxCatchAll" ma:showField="CatchAllData" ma:web="eff9f743-c5e6-45b1-888b-0c3422c38b02">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8751358-1c8c-4e10-bba6-66b4f05e7dc9}" ma:internalName="TaxCatchAllLabel" ma:readOnly="true" ma:showField="CatchAllDataLabel" ma:web="eff9f743-c5e6-45b1-888b-0c3422c38b02">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8227f1f-d659-408f-8478-a53a67511d2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99D470-7F55-4E87-A6EE-28EB6DE7763C}"/>
</file>

<file path=customXml/itemProps2.xml><?xml version="1.0" encoding="utf-8"?>
<ds:datastoreItem xmlns:ds="http://schemas.openxmlformats.org/officeDocument/2006/customXml" ds:itemID="{6531AA9F-C5A1-4AEA-822D-366FF59D7F11}"/>
</file>

<file path=customXml/itemProps3.xml><?xml version="1.0" encoding="utf-8"?>
<ds:datastoreItem xmlns:ds="http://schemas.openxmlformats.org/officeDocument/2006/customXml" ds:itemID="{F333751F-A821-4C78-B5CF-86CDFDAAE488}"/>
</file>

<file path=customXml/itemProps4.xml><?xml version="1.0" encoding="utf-8"?>
<ds:datastoreItem xmlns:ds="http://schemas.openxmlformats.org/officeDocument/2006/customXml" ds:itemID="{8EC28E75-90AE-4A47-89CE-2238BB4EEDD3}"/>
</file>

<file path=docProps/app.xml><?xml version="1.0" encoding="utf-8"?>
<Properties xmlns="http://schemas.openxmlformats.org/officeDocument/2006/extended-properties" xmlns:vt="http://schemas.openxmlformats.org/officeDocument/2006/docPropsVTypes">
  <Template>Normal</Template>
  <TotalTime>0</TotalTime>
  <Pages>1</Pages>
  <Words>3924</Words>
  <Characters>22371</Characters>
  <Application>Microsoft Office Word</Application>
  <DocSecurity>0</DocSecurity>
  <Lines>186</Lines>
  <Paragraphs>52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The role of cities as health promoters</vt:lpstr>
      <vt:lpstr>CoR PA revised Model</vt:lpstr>
    </vt:vector>
  </TitlesOfParts>
  <Company>CESE-CdR</Company>
  <LinksUpToDate>false</LinksUpToDate>
  <CharactersWithSpaces>26243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cities as health promoters</dc:title>
  <dc:subject>Committee opinion</dc:subject>
  <dc:creator>Emma Nieddu</dc:creator>
  <cp:keywords>COR-2023-02951-00-00-AC-TRA-EN</cp:keywords>
  <dc:description>Rapporteur: - BANASZAK Original language: - EN Date of document: - 01/12/2023 Date of meeting: -  External documents: -  Administrator responsible: - MME TOMALAK Dorota</dc:description>
  <cp:lastModifiedBy>TDriveSVCUserProd</cp:lastModifiedBy>
  <cp:revision>5</cp:revision>
  <cp:lastPrinted>2007-01-10T10:43:00Z</cp:lastPrinted>
  <dcterms:created xsi:type="dcterms:W3CDTF">2023-12-01T14:29:00Z</dcterms:created>
  <dcterms:modified xsi:type="dcterms:W3CDTF">2023-12-01T14:31:00Z</dcterms:modified>
  <cp:category>NAT-VII/37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01/12/2023, 24/10/2023, 06/10/2023, 06/09/2023</vt:lpwstr>
  </property>
  <property fmtid="{D5CDD505-2E9C-101B-9397-08002B2CF9AE}" pid="4" name="Pref_Time">
    <vt:lpwstr>15:27:47, 12:02:44, 17:12:55, 11:35:43</vt:lpwstr>
  </property>
  <property fmtid="{D5CDD505-2E9C-101B-9397-08002B2CF9AE}" pid="5" name="Pref_User">
    <vt:lpwstr>amett, jhvi, enied, jhvi</vt:lpwstr>
  </property>
  <property fmtid="{D5CDD505-2E9C-101B-9397-08002B2CF9AE}" pid="6" name="Pref_FileName">
    <vt:lpwstr>COR-2023-02951-00-00-AC-TRA-EN-CRR.docx, COR-2023-02951-00-01-PAC-ORI.docx, COR-2023-02951-00-00-PAC-TRA-EN-CRR.docx, COR-2023-02951-00-00-PA-TRA-EN-CRR.docx</vt:lpwstr>
  </property>
  <property fmtid="{D5CDD505-2E9C-101B-9397-08002B2CF9AE}" pid="7" name="ContentTypeId">
    <vt:lpwstr>0x010100EA97B91038054C99906057A708A1480A003064DEAD25534747849FAAD3F7206549</vt:lpwstr>
  </property>
  <property fmtid="{D5CDD505-2E9C-101B-9397-08002B2CF9AE}" pid="8" name="_dlc_DocIdItemGuid">
    <vt:lpwstr>8d5c83ec-1b3e-462a-b991-34103a8f040e</vt:lpwstr>
  </property>
  <property fmtid="{D5CDD505-2E9C-101B-9397-08002B2CF9AE}" pid="9" name="AvailableTranslations">
    <vt:lpwstr>38;#GA|762d2456-c427-4ecb-b312-af3dad8e258c;#22;#HU|6b229040-c589-4408-b4c1-4285663d20a8;#20;#NL|55c6556c-b4f4-441d-9acf-c498d4f838bd;#10;#SV|c2ed69e7-a339-43d7-8f22-d93680a92aa0;#4;#EN|f2175f21-25d7-44a3-96da-d6a61b075e1b;#15;#DA|5d49c027-8956-412b-aa16-e85a0f96ad0e;#32;#FI|87606a43-d45f-42d6-b8c9-e1a3457db5b7;#26;#LV|46f7e311-5d9f-4663-b433-18aeccb7ace7;#17;#DE|f6b31e5a-26fa-4935-b661-318e46daf27e;#23;#PT|50ccc04a-eadd-42ae-a0cb-acaf45f812ba;#31;#HR|2f555653-ed1a-4fe6-8362-9082d95989e5;#36;#LT|a7ff5ce7-6123-4f68-865a-a57c31810414;#24;#FR|d2afafd3-4c81-4f60-8f52-ee33f2f54ff3;#16;#IT|0774613c-01ed-4e5d-a25d-11d2388de825;#28;#BG|1a1b3951-7821-4e6a-85f5-5673fc08bd2c;#21;#CS|72f9705b-0217-4fd3-bea2-cbc7ed80e26e;#19;#SK|46d9fce0-ef79-4f71-b89b-cd6aa82426b8;#18;#PL|1e03da61-4678-4e07-b136-b5024ca9197b;#13;#MT|7df99101-6854-4a26-b53a-b88c0da02c26;#35;#EL|6d4f4d51-af9b-4650-94b4-4276bee85c91;#27;#ET|ff6c3f4c-b02c-4c3c-ab07-2c37995a7a0a;#25;#ES|e7a6b05b-ae16-40c8-add9-68b64b03aeba;#33;#SL|98a412ae-eb01-49e9-ae3d-585a81724cfc;#14;#RO|feb747a2-64cd-4299-af12-4833ddc30497</vt:lpwstr>
  </property>
  <property fmtid="{D5CDD505-2E9C-101B-9397-08002B2CF9AE}" pid="10" name="DocumentType_0">
    <vt:lpwstr>AC|a4cc1d15-fb08-4679-ad46-e4e0cba5fe92</vt:lpwstr>
  </property>
  <property fmtid="{D5CDD505-2E9C-101B-9397-08002B2CF9AE}" pid="11" name="DossierName_0">
    <vt:lpwstr>NAT-VII|c430e6b7-a42c-4284-b371-0f36990d71ff</vt:lpwstr>
  </property>
  <property fmtid="{D5CDD505-2E9C-101B-9397-08002B2CF9AE}" pid="12" name="DocumentSource_0">
    <vt:lpwstr>CoR|cb2d75ef-4a7d-4393-b797-49ed6298a5ea</vt:lpwstr>
  </property>
  <property fmtid="{D5CDD505-2E9C-101B-9397-08002B2CF9AE}" pid="13" name="DocumentNumber">
    <vt:i4>2951</vt:i4>
  </property>
  <property fmtid="{D5CDD505-2E9C-101B-9397-08002B2CF9AE}" pid="14" name="FicheYear">
    <vt:i4>2023</vt:i4>
  </property>
  <property fmtid="{D5CDD505-2E9C-101B-9397-08002B2CF9AE}" pid="15" name="DocumentVersion">
    <vt:i4>0</vt:i4>
  </property>
  <property fmtid="{D5CDD505-2E9C-101B-9397-08002B2CF9AE}" pid="16" name="DossierNumber">
    <vt:i4>37</vt:i4>
  </property>
  <property fmtid="{D5CDD505-2E9C-101B-9397-08002B2CF9AE}" pid="17" name="DocumentStatus">
    <vt:lpwstr>2;#TRA|150d2a88-1431-44e6-a8ca-0bb753ab8672</vt:lpwstr>
  </property>
  <property fmtid="{D5CDD505-2E9C-101B-9397-08002B2CF9AE}" pid="18" name="DossierName">
    <vt:lpwstr>115;#NAT-VII|c430e6b7-a42c-4284-b371-0f36990d71ff</vt:lpwstr>
  </property>
  <property fmtid="{D5CDD505-2E9C-101B-9397-08002B2CF9AE}" pid="19" name="RequestingService">
    <vt:lpwstr>Commission NAT</vt:lpwstr>
  </property>
  <property fmtid="{D5CDD505-2E9C-101B-9397-08002B2CF9AE}" pid="20" name="Confidentiality">
    <vt:lpwstr>5;#Unrestricted|826e22d7-d029-4ec0-a450-0c28ff673572</vt:lpwstr>
  </property>
  <property fmtid="{D5CDD505-2E9C-101B-9397-08002B2CF9AE}" pid="21" name="MeetingName_0">
    <vt:lpwstr/>
  </property>
  <property fmtid="{D5CDD505-2E9C-101B-9397-08002B2CF9AE}" pid="22" name="Confidentiality_0">
    <vt:lpwstr>Unrestricted|826e22d7-d029-4ec0-a450-0c28ff673572</vt:lpwstr>
  </property>
  <property fmtid="{D5CDD505-2E9C-101B-9397-08002B2CF9AE}" pid="23" name="OriginalLanguage">
    <vt:lpwstr>4;#EN|f2175f21-25d7-44a3-96da-d6a61b075e1b</vt:lpwstr>
  </property>
  <property fmtid="{D5CDD505-2E9C-101B-9397-08002B2CF9AE}" pid="24" name="MeetingName">
    <vt:lpwstr/>
  </property>
  <property fmtid="{D5CDD505-2E9C-101B-9397-08002B2CF9AE}" pid="26" name="AvailableTranslations_0">
    <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115;#NAT-VII|c430e6b7-a42c-4284-b371-0f36990d71ff;#7;#Final|ea5e6674-7b27-4bac-b091-73adbb394efe;#5;#Unrestricted|826e22d7-d029-4ec0-a450-0c28ff673572;#4;#EN|f2175f21-25d7-44a3-96da-d6a61b075e1b;#2;#TRA|150d2a88-1431-44e6-a8ca-0bb753ab8672;#1;#CoR|cb2d75ef-4a7d-4393-b797-49ed6298a5ea;#119;#AC|a4cc1d15-fb08-4679-ad46-e4e0cba5fe92</vt:lpwstr>
  </property>
  <property fmtid="{D5CDD505-2E9C-101B-9397-08002B2CF9AE}" pid="30" name="Rapporteur">
    <vt:lpwstr>BANASZAK</vt:lpwstr>
  </property>
  <property fmtid="{D5CDD505-2E9C-101B-9397-08002B2CF9AE}" pid="31" name="VersionStatus_0">
    <vt:lpwstr>Final|ea5e6674-7b27-4bac-b091-73adbb394efe</vt:lpwstr>
  </property>
  <property fmtid="{D5CDD505-2E9C-101B-9397-08002B2CF9AE}" pid="32" name="VersionStatus">
    <vt:lpwstr>7;#Final|ea5e6674-7b27-4bac-b091-73adbb394efe</vt:lpwstr>
  </property>
  <property fmtid="{D5CDD505-2E9C-101B-9397-08002B2CF9AE}" pid="33" name="DocumentYear">
    <vt:i4>2023</vt:i4>
  </property>
  <property fmtid="{D5CDD505-2E9C-101B-9397-08002B2CF9AE}" pid="34" name="FicheNumber">
    <vt:i4>12087</vt:i4>
  </property>
  <property fmtid="{D5CDD505-2E9C-101B-9397-08002B2CF9AE}" pid="35" name="DocumentPart">
    <vt:i4>0</vt:i4>
  </property>
  <property fmtid="{D5CDD505-2E9C-101B-9397-08002B2CF9AE}" pid="36" name="DocumentSource">
    <vt:lpwstr>1;#CoR|cb2d75ef-4a7d-4393-b797-49ed6298a5ea</vt:lpwstr>
  </property>
  <property fmtid="{D5CDD505-2E9C-101B-9397-08002B2CF9AE}" pid="37" name="AdoptionDate">
    <vt:filetime>2023-11-30T12:00:00Z</vt:filetime>
  </property>
  <property fmtid="{D5CDD505-2E9C-101B-9397-08002B2CF9AE}" pid="38" name="DocumentType">
    <vt:lpwstr>119;#AC|a4cc1d15-fb08-4679-ad46-e4e0cba5fe92</vt:lpwstr>
  </property>
  <property fmtid="{D5CDD505-2E9C-101B-9397-08002B2CF9AE}" pid="39" name="DocumentLanguage">
    <vt:lpwstr>4;#EN|f2175f21-25d7-44a3-96da-d6a61b075e1b</vt:lpwstr>
  </property>
  <property fmtid="{D5CDD505-2E9C-101B-9397-08002B2CF9AE}" pid="40" name="_docset_NoMedatataSyncRequired">
    <vt:lpwstr>False</vt:lpwstr>
  </property>
</Properties>
</file>