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5"/>
        <w:tblW w:w="9243" w:type="dxa"/>
        <w:tblInd w:w="0" w:type="dxa"/>
        <w:tblLayout w:type="fixed"/>
        <w:tblLook w:val="0000" w:firstRow="0" w:lastRow="0" w:firstColumn="0" w:lastColumn="0" w:noHBand="0" w:noVBand="0"/>
      </w:tblPr>
      <w:tblGrid>
        <w:gridCol w:w="4621"/>
        <w:gridCol w:w="4622"/>
      </w:tblGrid>
      <w:tr w:rsidRPr="00995C4A" w:rsidR="00D13C3C" w14:paraId="7B09B380" w14:textId="77777777">
        <w:trPr>
          <w:cantSplit/>
        </w:trPr>
        <w:tc>
          <w:tcPr>
            <w:tcW w:w="4621" w:type="dxa"/>
          </w:tcPr>
          <w:p w:rsidRPr="00995C4A" w:rsidR="00C44DF2" w:rsidP="00F36308" w:rsidRDefault="004006D9" w14:paraId="27EB7335" w14:textId="77777777">
            <w:pPr>
              <w:jc w:val="left"/>
              <w:rPr>
                <w:sz w:val="32"/>
                <w:szCs w:val="32"/>
                <w:lang w:val="en-GB"/>
              </w:rPr>
            </w:pPr>
            <w:bookmarkStart w:name="_GoBack" w:id="0"/>
            <w:bookmarkEnd w:id="0"/>
            <w:r w:rsidRPr="00995C4A">
              <w:rPr>
                <w:noProof/>
                <w:sz w:val="32"/>
              </w:rPr>
              <w:drawing>
                <wp:inline distT="0" distB="0" distL="0" distR="0" wp14:anchorId="1C169726" wp14:editId="29B15B1B">
                  <wp:extent cx="1800000" cy="1559336"/>
                  <wp:effectExtent l="0" t="0" r="0" b="0"/>
                  <wp:docPr id="3" name="image1.jpg" descr="C:\Users\mreg\Music\New LOGO\Logo\logo_CoR-vertical-positive-en-quadri_MR.jpg"/>
                  <wp:cNvGraphicFramePr/>
                  <a:graphic xmlns:a="http://schemas.openxmlformats.org/drawingml/2006/main">
                    <a:graphicData uri="http://schemas.openxmlformats.org/drawingml/2006/picture">
                      <pic:pic xmlns:pic="http://schemas.openxmlformats.org/drawingml/2006/picture">
                        <pic:nvPicPr>
                          <pic:cNvPr id="0" name="image1.jpg" descr="C:\Users\mreg\Music\New LOGO\Logo\logo_CoR-vertical-positive-en-quadri_MR.jpg"/>
                          <pic:cNvPicPr preferRelativeResize="0"/>
                        </pic:nvPicPr>
                        <pic:blipFill>
                          <a:blip r:embed="rId12"/>
                          <a:srcRect/>
                          <a:stretch>
                            <a:fillRect/>
                          </a:stretch>
                        </pic:blipFill>
                        <pic:spPr>
                          <a:xfrm>
                            <a:off x="0" y="0"/>
                            <a:ext cx="1800000" cy="1559336"/>
                          </a:xfrm>
                          <a:prstGeom prst="rect">
                            <a:avLst/>
                          </a:prstGeom>
                          <a:ln/>
                        </pic:spPr>
                      </pic:pic>
                    </a:graphicData>
                  </a:graphic>
                </wp:inline>
              </w:drawing>
            </w:r>
            <w:r w:rsidRPr="00995C4A">
              <w:rPr>
                <w:noProof/>
                <w:sz w:val="32"/>
                <w:szCs w:val="32"/>
              </w:rPr>
              <mc:AlternateContent>
                <mc:Choice Requires="wps">
                  <w:drawing>
                    <wp:anchor distT="0" distB="0" distL="0" distR="0" simplePos="0" relativeHeight="251656704" behindDoc="1" locked="0" layoutInCell="1" hidden="0" allowOverlap="1" wp14:editId="02A54244" wp14:anchorId="1400ED88">
                      <wp:simplePos x="0" y="0"/>
                      <wp:positionH relativeFrom="column">
                        <wp:posOffset>5842000</wp:posOffset>
                      </wp:positionH>
                      <wp:positionV relativeFrom="paragraph">
                        <wp:posOffset>9156700</wp:posOffset>
                      </wp:positionV>
                      <wp:extent cx="666750" cy="415290"/>
                      <wp:effectExtent l="0" t="0" r="0" b="0"/>
                      <wp:wrapNone/>
                      <wp:docPr id="1" name="Téglalap 1"/>
                      <wp:cNvGraphicFramePr/>
                      <a:graphic xmlns:a="http://schemas.openxmlformats.org/drawingml/2006/main">
                        <a:graphicData uri="http://schemas.microsoft.com/office/word/2010/wordprocessingShape">
                          <wps:wsp>
                            <wps:cNvSpPr/>
                            <wps:spPr>
                              <a:xfrm>
                                <a:off x="5022150" y="3581880"/>
                                <a:ext cx="647700" cy="396240"/>
                              </a:xfrm>
                              <a:prstGeom prst="rect">
                                <a:avLst/>
                              </a:prstGeom>
                              <a:noFill/>
                              <a:ln>
                                <a:noFill/>
                              </a:ln>
                            </wps:spPr>
                            <wps:txbx>
                              <w:txbxContent>
                                <w:p w:rsidR="00C44DF2" w:rsidRDefault="004006D9" w14:paraId="170F6683" w14:textId="77777777">
                                  <w:pPr>
                                    <w:jc w:val="center"/>
                                    <w:textDirection w:val="btLr"/>
                                  </w:pPr>
                                  <w:r>
                                    <w:rPr>
                                      <w:rFonts w:ascii="Arial" w:hAnsi="Arial" w:eastAsia="Arial" w:cs="Arial"/>
                                      <w:b/>
                                      <w:color w:val="000000"/>
                                      <w:sz w:val="48"/>
                                    </w:rPr>
                                    <w:t>EN</w:t>
                                  </w:r>
                                </w:p>
                              </w:txbxContent>
                            </wps:txbx>
                            <wps:bodyPr spcFirstLastPara="1" wrap="square" lIns="91425" tIns="45700" rIns="91425" bIns="45700" anchor="t" anchorCtr="0">
                              <a:noAutofit/>
                            </wps:bodyPr>
                          </wps:wsp>
                        </a:graphicData>
                      </a:graphic>
                    </wp:anchor>
                  </w:drawing>
                </mc:Choice>
                <mc:Fallback>
                  <w:pict>
                    <v:rect id="Téglalap 1" style="position:absolute;margin-left:460pt;margin-top:721pt;width:52.5pt;height:32.7pt;z-index:-251659776;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1400E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">
                      <v:textbox inset="2.53958mm,1.2694mm,2.53958mm,1.2694mm">
                        <w:txbxContent>
                          <w:p w:rsidR="00C44DF2" w:rsidRDefault="004006D9" w14:paraId="170F6683" w14:textId="77777777">
                            <w:pPr>
                              <w:jc w:val="center"/>
                              <w:textDirection w:val="btLr"/>
                            </w:pPr>
                            <w:r>
                              <w:rPr>
                                <w:rFonts w:ascii="Arial" w:hAnsi="Arial" w:eastAsia="Arial" w:cs="Arial"/>
                                <w:b/>
                                <w:color w:val="000000"/>
                                <w:sz w:val="48"/>
                              </w:rPr>
                              <w:t>EN</w:t>
                            </w:r>
                          </w:p>
                        </w:txbxContent>
                      </v:textbox>
                    </v:rect>
                  </w:pict>
                </mc:Fallback>
              </mc:AlternateContent>
            </w:r>
          </w:p>
        </w:tc>
        <w:tc>
          <w:tcPr>
            <w:tcW w:w="4622" w:type="dxa"/>
          </w:tcPr>
          <w:p w:rsidRPr="00995C4A" w:rsidR="00C44DF2" w:rsidP="00F36308" w:rsidRDefault="00C44DF2" w14:paraId="0EAF6D88" w14:textId="77777777">
            <w:pPr>
              <w:jc w:val="center"/>
              <w:rPr>
                <w:sz w:val="32"/>
                <w:szCs w:val="32"/>
                <w:lang w:val="en-GB"/>
              </w:rPr>
            </w:pPr>
          </w:p>
        </w:tc>
      </w:tr>
      <w:tr w:rsidRPr="00995C4A" w:rsidR="00D13C3C" w14:paraId="0A0CF333" w14:textId="77777777">
        <w:trPr>
          <w:cantSplit/>
        </w:trPr>
        <w:tc>
          <w:tcPr>
            <w:tcW w:w="9243" w:type="dxa"/>
            <w:gridSpan w:val="2"/>
          </w:tcPr>
          <w:p w:rsidRPr="00995C4A" w:rsidR="00C44DF2" w:rsidP="00F36308" w:rsidRDefault="004006D9" w14:paraId="3E381F13" w14:textId="77777777">
            <w:pPr>
              <w:jc w:val="right"/>
              <w:rPr>
                <w:b/>
                <w:sz w:val="28"/>
                <w:szCs w:val="28"/>
                <w:lang w:val="en-GB"/>
              </w:rPr>
            </w:pPr>
            <w:r w:rsidRPr="00995C4A">
              <w:rPr>
                <w:b/>
                <w:sz w:val="28"/>
                <w:lang w:val="en-GB"/>
              </w:rPr>
              <w:t>ENVE-VII/043</w:t>
            </w:r>
          </w:p>
        </w:tc>
      </w:tr>
      <w:tr w:rsidRPr="00995C4A" w:rsidR="00D13C3C" w14:paraId="34D6B4C6" w14:textId="77777777">
        <w:tc>
          <w:tcPr>
            <w:tcW w:w="9243" w:type="dxa"/>
            <w:gridSpan w:val="2"/>
          </w:tcPr>
          <w:p w:rsidRPr="00995C4A" w:rsidR="00C44DF2" w:rsidP="00F36308" w:rsidRDefault="00092047" w14:paraId="2DDA9018" w14:textId="56AFA06D">
            <w:pPr>
              <w:jc w:val="center"/>
              <w:rPr>
                <w:b/>
                <w:sz w:val="28"/>
                <w:szCs w:val="28"/>
                <w:lang w:val="en-GB"/>
              </w:rPr>
            </w:pPr>
            <w:r w:rsidRPr="00995C4A">
              <w:rPr>
                <w:b/>
                <w:color w:val="000000"/>
                <w:sz w:val="28"/>
                <w:lang w:val="en-GB"/>
              </w:rPr>
              <w:t xml:space="preserve">160th CoR </w:t>
            </w:r>
            <w:r w:rsidRPr="00995C4A" w:rsidR="000323B3">
              <w:rPr>
                <w:b/>
                <w:color w:val="000000"/>
                <w:sz w:val="28"/>
                <w:lang w:val="en-GB"/>
              </w:rPr>
              <w:t>p</w:t>
            </w:r>
            <w:r w:rsidRPr="00995C4A">
              <w:rPr>
                <w:b/>
                <w:color w:val="000000"/>
                <w:sz w:val="28"/>
                <w:lang w:val="en-GB"/>
              </w:rPr>
              <w:t xml:space="preserve">lenary </w:t>
            </w:r>
            <w:r w:rsidRPr="00995C4A" w:rsidR="000323B3">
              <w:rPr>
                <w:b/>
                <w:color w:val="000000"/>
                <w:sz w:val="28"/>
                <w:lang w:val="en-GB"/>
              </w:rPr>
              <w:t>s</w:t>
            </w:r>
            <w:r w:rsidRPr="00995C4A">
              <w:rPr>
                <w:b/>
                <w:color w:val="000000"/>
                <w:sz w:val="28"/>
                <w:lang w:val="en-GB"/>
              </w:rPr>
              <w:t>ession, 17</w:t>
            </w:r>
            <w:r w:rsidR="00995C4A">
              <w:rPr>
                <w:b/>
                <w:color w:val="000000"/>
                <w:sz w:val="28"/>
                <w:lang w:val="en-GB"/>
              </w:rPr>
              <w:t xml:space="preserve"> </w:t>
            </w:r>
            <w:r w:rsidRPr="00995C4A">
              <w:rPr>
                <w:b/>
                <w:color w:val="000000"/>
                <w:sz w:val="28"/>
                <w:lang w:val="en-GB"/>
              </w:rPr>
              <w:t>April-18</w:t>
            </w:r>
            <w:r w:rsidR="00995C4A">
              <w:rPr>
                <w:b/>
                <w:color w:val="000000"/>
                <w:sz w:val="28"/>
                <w:lang w:val="en-GB"/>
              </w:rPr>
              <w:t xml:space="preserve"> </w:t>
            </w:r>
            <w:r w:rsidRPr="00995C4A">
              <w:rPr>
                <w:b/>
                <w:color w:val="000000"/>
                <w:sz w:val="28"/>
                <w:lang w:val="en-GB"/>
              </w:rPr>
              <w:t>April 2024</w:t>
            </w:r>
          </w:p>
        </w:tc>
      </w:tr>
    </w:tbl>
    <w:p w:rsidRPr="00995C4A" w:rsidR="00C44DF2" w:rsidRDefault="00C44DF2" w14:paraId="2BE1D16B" w14:textId="77777777">
      <w:pPr>
        <w:rPr>
          <w:lang w:val="en-GB"/>
        </w:rPr>
      </w:pPr>
    </w:p>
    <w:p w:rsidRPr="00995C4A" w:rsidR="00C44DF2" w:rsidRDefault="00C44DF2" w14:paraId="112BC646" w14:textId="77777777">
      <w:pPr>
        <w:rPr>
          <w:lang w:val="en-GB"/>
        </w:rPr>
      </w:pPr>
    </w:p>
    <w:p w:rsidRPr="00995C4A" w:rsidR="00C44DF2" w:rsidRDefault="004006D9" w14:paraId="57621B15" w14:textId="62298AB3">
      <w:pPr>
        <w:jc w:val="center"/>
        <w:rPr>
          <w:b/>
          <w:sz w:val="28"/>
          <w:lang w:val="en-GB"/>
        </w:rPr>
      </w:pPr>
      <w:r w:rsidRPr="00995C4A">
        <w:rPr>
          <w:b/>
          <w:sz w:val="28"/>
          <w:lang w:val="en-GB"/>
        </w:rPr>
        <w:t>OPINION</w:t>
      </w:r>
    </w:p>
    <w:p w:rsidRPr="00995C4A" w:rsidR="00C44DF2" w:rsidRDefault="00C44DF2" w14:paraId="69B5E28C" w14:textId="77777777">
      <w:pPr>
        <w:jc w:val="left"/>
        <w:rPr>
          <w:bCs/>
          <w:lang w:val="en-GB"/>
        </w:rPr>
      </w:pPr>
    </w:p>
    <w:p w:rsidRPr="00995C4A" w:rsidR="00C44DF2" w:rsidRDefault="004006D9" w14:paraId="01C1009C" w14:textId="77777777">
      <w:pPr>
        <w:jc w:val="center"/>
        <w:rPr>
          <w:b/>
          <w:sz w:val="28"/>
          <w:lang w:val="en-GB"/>
        </w:rPr>
      </w:pPr>
      <w:r w:rsidRPr="00995C4A">
        <w:rPr>
          <w:b/>
          <w:sz w:val="28"/>
          <w:lang w:val="en-GB"/>
        </w:rPr>
        <w:t>Localising energy production: the role of geothermal energy</w:t>
      </w:r>
    </w:p>
    <w:p w:rsidRPr="00995C4A" w:rsidR="00C44DF2" w:rsidRDefault="00C44DF2" w14:paraId="64411BCA" w14:textId="77777777">
      <w:pPr>
        <w:jc w:val="left"/>
        <w:rPr>
          <w:lang w:val="en-GB"/>
        </w:rPr>
      </w:pPr>
    </w:p>
    <w:p w:rsidRPr="00995C4A" w:rsidR="00C44DF2" w:rsidP="00F36308" w:rsidRDefault="00F36308" w14:paraId="4E147F1E" w14:textId="57D6C02F">
      <w:pPr>
        <w:jc w:val="left"/>
        <w:rPr>
          <w:lang w:val="en-GB"/>
        </w:rPr>
      </w:pPr>
      <w:r w:rsidRPr="00CB4347">
        <w:rPr>
          <w:noProof/>
        </w:rPr>
        <w:drawing>
          <wp:anchor distT="0" distB="0" distL="114300" distR="114300" simplePos="0" relativeHeight="251659264" behindDoc="0" locked="0" layoutInCell="1" allowOverlap="1" wp14:editId="2A1CCADF" wp14:anchorId="3AAF0EFD">
            <wp:simplePos x="0" y="0"/>
            <wp:positionH relativeFrom="column">
              <wp:posOffset>-41443</wp:posOffset>
            </wp:positionH>
            <wp:positionV relativeFrom="page">
              <wp:posOffset>10278877</wp:posOffset>
            </wp:positionV>
            <wp:extent cx="5779135" cy="2901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79135" cy="290195"/>
                    </a:xfrm>
                    <a:prstGeom prst="rect">
                      <a:avLst/>
                    </a:prstGeom>
                  </pic:spPr>
                </pic:pic>
              </a:graphicData>
            </a:graphic>
            <wp14:sizeRelH relativeFrom="margin">
              <wp14:pctWidth>0</wp14:pctWidth>
            </wp14:sizeRelH>
            <wp14:sizeRelV relativeFrom="margin">
              <wp14:pctHeight>0</wp14:pctHeight>
            </wp14:sizeRelV>
          </wp:anchor>
        </w:drawing>
      </w:r>
    </w:p>
    <w:tbl>
      <w:tblPr>
        <w:tblStyle w:val="3"/>
        <w:tblW w:w="9493" w:type="dxa"/>
        <w:tblInd w:w="0"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9243"/>
        <w:gridCol w:w="250"/>
      </w:tblGrid>
      <w:tr w:rsidRPr="00995C4A" w:rsidR="00B9380C" w:rsidTr="009C4318" w14:paraId="4967D188" w14:textId="77777777">
        <w:tc>
          <w:tcPr>
            <w:tcW w:w="9493" w:type="dxa"/>
            <w:gridSpan w:val="2"/>
            <w:tcBorders>
              <w:top w:val="single" w:color="000000" w:sz="4" w:space="0"/>
              <w:bottom w:val="single" w:color="000000" w:sz="4" w:space="0"/>
            </w:tcBorders>
          </w:tcPr>
          <w:p w:rsidRPr="00995C4A" w:rsidR="008F1FA1" w:rsidP="007B0E1C" w:rsidRDefault="008F1FA1" w14:paraId="1B1646F6" w14:textId="77777777">
            <w:pPr>
              <w:spacing w:line="240" w:lineRule="auto"/>
              <w:rPr>
                <w:color w:val="000000"/>
                <w:lang w:val="en-GB"/>
              </w:rPr>
            </w:pPr>
            <w:r w:rsidRPr="00995C4A">
              <w:rPr>
                <w:color w:val="000000"/>
                <w:lang w:val="en-GB"/>
              </w:rPr>
              <w:t>THE EUROPEAN COMMITTEE OF THE REGIONS</w:t>
            </w:r>
          </w:p>
          <w:p w:rsidRPr="00995C4A" w:rsidR="008F1FA1" w:rsidP="007B0E1C" w:rsidRDefault="008F1FA1" w14:paraId="40ACFD1F" w14:textId="77777777">
            <w:pPr>
              <w:spacing w:line="240" w:lineRule="auto"/>
              <w:rPr>
                <w:color w:val="000000"/>
                <w:lang w:val="en-GB"/>
              </w:rPr>
            </w:pPr>
          </w:p>
          <w:p w:rsidRPr="007B0E1C" w:rsidR="008F1FA1" w:rsidP="007B0E1C" w:rsidRDefault="009A3672" w14:paraId="4777591D" w14:textId="57A0DABB">
            <w:pPr>
              <w:numPr>
                <w:ilvl w:val="0"/>
                <w:numId w:val="5"/>
              </w:numPr>
              <w:spacing w:line="240" w:lineRule="auto"/>
              <w:ind w:left="567" w:hanging="567"/>
              <w:rPr>
                <w:color w:val="000000"/>
                <w:lang w:val="en-GB"/>
              </w:rPr>
            </w:pPr>
            <w:r w:rsidRPr="00995C4A">
              <w:rPr>
                <w:lang w:val="en-GB"/>
              </w:rPr>
              <w:t xml:space="preserve">underlines that local energy has significant potential in terms of providing energy security, increasing the share of renewable energy and securing affordable energy prices, thereby resulting in greater energy independence for local and regional authorities (LRAs). </w:t>
            </w:r>
            <w:r w:rsidRPr="00995C4A" w:rsidR="00A336F9">
              <w:rPr>
                <w:lang w:val="en-GB"/>
              </w:rPr>
              <w:t>T</w:t>
            </w:r>
            <w:r w:rsidRPr="00995C4A">
              <w:rPr>
                <w:lang w:val="en-GB"/>
              </w:rPr>
              <w:t>he European Committee of the Regions (CoR) highlights the untapped potential of geothermal energy, which can directly contribute to all the above key policy objectives for Europe;</w:t>
            </w:r>
          </w:p>
          <w:p w:rsidRPr="00995C4A" w:rsidR="009A3672" w:rsidP="007B0E1C" w:rsidRDefault="009A3672" w14:paraId="19433AFB" w14:textId="36C0E381">
            <w:pPr>
              <w:numPr>
                <w:ilvl w:val="0"/>
                <w:numId w:val="5"/>
              </w:numPr>
              <w:spacing w:line="240" w:lineRule="auto"/>
              <w:ind w:left="567" w:hanging="567"/>
              <w:rPr>
                <w:color w:val="000000"/>
                <w:lang w:val="en-GB"/>
              </w:rPr>
            </w:pPr>
            <w:r w:rsidRPr="00995C4A">
              <w:rPr>
                <w:color w:val="000000"/>
                <w:lang w:val="en-GB"/>
              </w:rPr>
              <w:t>points out that this opinion draws attention to geothermal energy, which is an energy source that can provide benefits as well as meet the requirements for localising energy production in Europe;</w:t>
            </w:r>
          </w:p>
          <w:p w:rsidRPr="00995C4A" w:rsidR="009A3672" w:rsidP="007B0E1C" w:rsidRDefault="00216C3D" w14:paraId="54108F7E" w14:textId="2933353B">
            <w:pPr>
              <w:numPr>
                <w:ilvl w:val="0"/>
                <w:numId w:val="5"/>
              </w:numPr>
              <w:spacing w:line="240" w:lineRule="auto"/>
              <w:ind w:left="567" w:hanging="567"/>
              <w:rPr>
                <w:color w:val="000000"/>
                <w:lang w:val="en-GB"/>
              </w:rPr>
            </w:pPr>
            <w:r w:rsidRPr="00995C4A">
              <w:rPr>
                <w:lang w:val="en-GB"/>
              </w:rPr>
              <w:t>considers that a locally produced, renewable energy like geothermal could play a considerable role in making LRAs more resilient while making the EU more energy independent, energy secure and contributing to decarbonisation goals. Geothermal energy has direct benefits for local communities and economies that would benefit from an EU-wide strategy;</w:t>
            </w:r>
          </w:p>
          <w:p w:rsidRPr="00995C4A" w:rsidR="0078203D" w:rsidP="007B0E1C" w:rsidRDefault="0078203D" w14:paraId="4D084E81" w14:textId="3303A898">
            <w:pPr>
              <w:numPr>
                <w:ilvl w:val="0"/>
                <w:numId w:val="5"/>
              </w:numPr>
              <w:spacing w:line="240" w:lineRule="auto"/>
              <w:ind w:left="567" w:hanging="567"/>
              <w:rPr>
                <w:color w:val="000000"/>
                <w:lang w:val="en-GB"/>
              </w:rPr>
            </w:pPr>
            <w:r w:rsidRPr="00995C4A">
              <w:rPr>
                <w:color w:val="000000"/>
                <w:lang w:val="en-GB"/>
              </w:rPr>
              <w:t>notes that despite using mature technologies to explore it, geothermal energy is still relatively expensive in many cases, and requires measures to increase capacity, public support and transparency. These include speeding up the permitting and licencing process of local energy generation to scale up and be price-competitive;</w:t>
            </w:r>
          </w:p>
          <w:p w:rsidRPr="007B0E1C" w:rsidR="008F1FA1" w:rsidP="007B0E1C" w:rsidRDefault="00701DC2" w14:paraId="48A298FB" w14:textId="56207B49">
            <w:pPr>
              <w:numPr>
                <w:ilvl w:val="0"/>
                <w:numId w:val="5"/>
              </w:numPr>
              <w:spacing w:line="240" w:lineRule="auto"/>
              <w:ind w:left="567" w:hanging="567"/>
              <w:rPr>
                <w:color w:val="000000"/>
                <w:lang w:val="en-GB"/>
              </w:rPr>
            </w:pPr>
            <w:r w:rsidRPr="00995C4A">
              <w:rPr>
                <w:color w:val="000000"/>
                <w:lang w:val="en-GB"/>
              </w:rPr>
              <w:t>highlights that policy intervention is especially relevant for large-scale geothermal energy investments, which can be of considerable cost, and which can have a significant environmental footprint if not handled properly;</w:t>
            </w:r>
          </w:p>
          <w:p w:rsidRPr="00995C4A" w:rsidR="0078203D" w:rsidP="007B0E1C" w:rsidRDefault="0078203D" w14:paraId="6D49689E" w14:textId="73DB476A">
            <w:pPr>
              <w:numPr>
                <w:ilvl w:val="0"/>
                <w:numId w:val="4"/>
              </w:numPr>
              <w:spacing w:line="240" w:lineRule="auto"/>
              <w:ind w:left="567" w:hanging="567"/>
              <w:rPr>
                <w:lang w:val="en-GB"/>
              </w:rPr>
            </w:pPr>
            <w:r w:rsidRPr="00995C4A">
              <w:rPr>
                <w:lang w:val="en-GB"/>
              </w:rPr>
              <w:t>emphasises the crucial role of citizens participation in decentralising energy production, fostering active involvement to bolster the green transition. This active engagement does not only strengthen the connection between production and consumption, but also promotes the development of a local value chain;</w:t>
            </w:r>
          </w:p>
          <w:p w:rsidRPr="00995C4A" w:rsidR="009A3672" w:rsidP="007B0E1C" w:rsidRDefault="0078203D" w14:paraId="6F4C4EDA" w14:textId="6EBACF77">
            <w:pPr>
              <w:numPr>
                <w:ilvl w:val="0"/>
                <w:numId w:val="4"/>
              </w:numPr>
              <w:spacing w:line="240" w:lineRule="auto"/>
              <w:ind w:left="567" w:hanging="567"/>
              <w:rPr>
                <w:color w:val="000000"/>
                <w:lang w:val="en-GB"/>
              </w:rPr>
            </w:pPr>
            <w:r w:rsidRPr="00995C4A">
              <w:rPr>
                <w:lang w:val="en-GB"/>
              </w:rPr>
              <w:t>encourages the establishment of geothermal energy-based heating, cooling and electricity generation as part of renewable energy communities. This would also contribute to the wider uptake of smart metering locally. Similarly, it would create public awareness about LRAs as producers and consumers (prosumers) of locally available energy</w:t>
            </w:r>
            <w:r w:rsidR="000E5C11">
              <w:rPr>
                <w:lang w:val="en-GB"/>
              </w:rPr>
              <w:t>.</w:t>
            </w:r>
          </w:p>
          <w:p w:rsidRPr="00995C4A" w:rsidR="00B9380C" w:rsidP="007B0E1C" w:rsidRDefault="00B9380C" w14:paraId="1946BA5A" w14:textId="41B5003B">
            <w:pPr>
              <w:spacing w:line="240" w:lineRule="auto"/>
              <w:rPr>
                <w:color w:val="000000"/>
                <w:lang w:val="en-GB"/>
              </w:rPr>
            </w:pPr>
          </w:p>
        </w:tc>
      </w:tr>
      <w:tr w:rsidRPr="00995C4A" w:rsidR="00D13C3C" w14:paraId="56E3D684" w14:textId="77777777">
        <w:tblPrEx>
          <w:tblW w:w="9243" w:type="dxa"/>
          <w:tblBorders>
            <w:top w:val="none" w:color="auto" w:sz="0" w:space="0"/>
            <w:left w:val="none" w:color="auto" w:sz="0" w:space="0"/>
            <w:bottom w:val="none" w:color="auto" w:sz="0" w:space="0"/>
            <w:right w:val="none" w:color="auto" w:sz="0" w:space="0"/>
          </w:tblBorders>
        </w:tblPrEx>
        <w:trPr>
          <w:gridAfter w:val="1"/>
          <w:trHeight w:val="12474"/>
        </w:trPr>
        <w:tc>
          <w:tcPr>
            <w:tcW w:w="9243" w:type="dxa"/>
            <w:shd w:val="clear" w:color="auto" w:fill="auto"/>
            <w:vAlign w:val="bottom"/>
          </w:tcPr>
          <w:p w:rsidR="007735A6" w:rsidP="007B0E1C" w:rsidRDefault="00B9380C" w14:paraId="01FB6824" w14:textId="0B4A4B67">
            <w:pPr>
              <w:spacing w:line="240" w:lineRule="auto"/>
              <w:rPr>
                <w:u w:val="single"/>
                <w:lang w:val="en-GB"/>
              </w:rPr>
            </w:pPr>
            <w:r w:rsidRPr="00995C4A">
              <w:rPr>
                <w:u w:val="single"/>
                <w:lang w:val="en-GB"/>
              </w:rPr>
              <w:t>Rapporteur</w:t>
            </w:r>
          </w:p>
          <w:p w:rsidRPr="00995C4A" w:rsidR="000E5C11" w:rsidP="007B0E1C" w:rsidRDefault="000E5C11" w14:paraId="3C3B6065" w14:textId="77777777">
            <w:pPr>
              <w:spacing w:line="240" w:lineRule="auto"/>
              <w:rPr>
                <w:u w:val="single"/>
                <w:lang w:val="en-GB"/>
              </w:rPr>
            </w:pPr>
          </w:p>
          <w:p w:rsidRPr="007B0E1C" w:rsidR="00B9380C" w:rsidP="007B0E1C" w:rsidRDefault="00B9380C" w14:paraId="081A3972" w14:textId="04E95120">
            <w:pPr>
              <w:spacing w:line="240" w:lineRule="auto"/>
              <w:rPr>
                <w:bCs/>
                <w:lang w:val="en-GB"/>
              </w:rPr>
            </w:pPr>
            <w:r w:rsidRPr="007B0E1C">
              <w:rPr>
                <w:bCs/>
                <w:lang w:val="en-GB"/>
              </w:rPr>
              <w:t>József R</w:t>
            </w:r>
            <w:r w:rsidRPr="00995C4A" w:rsidR="00995C4A">
              <w:rPr>
                <w:bCs/>
                <w:lang w:val="en-GB"/>
              </w:rPr>
              <w:t>ibányi</w:t>
            </w:r>
            <w:r w:rsidRPr="007B0E1C">
              <w:rPr>
                <w:bCs/>
                <w:lang w:val="en-GB"/>
              </w:rPr>
              <w:t xml:space="preserve"> (HU/ECR)</w:t>
            </w:r>
            <w:r w:rsidRPr="00995C4A" w:rsidR="007735A6">
              <w:rPr>
                <w:bCs/>
                <w:lang w:val="en-GB"/>
              </w:rPr>
              <w:t xml:space="preserve">, </w:t>
            </w:r>
            <w:r w:rsidRPr="007B0E1C">
              <w:rPr>
                <w:bCs/>
                <w:lang w:val="en-GB"/>
              </w:rPr>
              <w:t>Member of a Regional Assembly: County Council of Tolna Megye</w:t>
            </w:r>
          </w:p>
          <w:p w:rsidR="00C44DF2" w:rsidP="000E5C11" w:rsidRDefault="00C44DF2" w14:paraId="7FCCAEB3" w14:textId="1BAD9D54">
            <w:pPr>
              <w:spacing w:line="240" w:lineRule="auto"/>
              <w:rPr>
                <w:lang w:val="en-GB"/>
              </w:rPr>
            </w:pPr>
          </w:p>
          <w:p w:rsidRPr="007B0E1C" w:rsidR="000E5C11" w:rsidP="007B0E1C" w:rsidRDefault="000E5C11" w14:paraId="6E794F3E" w14:textId="77777777">
            <w:pPr>
              <w:spacing w:line="240" w:lineRule="auto"/>
              <w:rPr>
                <w:lang w:val="en-GB"/>
              </w:rPr>
            </w:pPr>
          </w:p>
          <w:p w:rsidR="00C44DF2" w:rsidP="007B0E1C" w:rsidRDefault="004006D9" w14:paraId="6A56F599" w14:textId="4CEDE273">
            <w:pPr>
              <w:spacing w:line="240" w:lineRule="auto"/>
              <w:rPr>
                <w:u w:val="single"/>
                <w:lang w:val="en-GB"/>
              </w:rPr>
            </w:pPr>
            <w:r w:rsidRPr="00995C4A">
              <w:rPr>
                <w:u w:val="single"/>
                <w:lang w:val="en-GB"/>
              </w:rPr>
              <w:t>Reference document</w:t>
            </w:r>
          </w:p>
          <w:p w:rsidRPr="00995C4A" w:rsidR="000E5C11" w:rsidP="007B0E1C" w:rsidRDefault="000E5C11" w14:paraId="5D1534DC" w14:textId="77777777">
            <w:pPr>
              <w:spacing w:line="240" w:lineRule="auto"/>
              <w:rPr>
                <w:u w:val="single"/>
                <w:lang w:val="en-GB"/>
              </w:rPr>
            </w:pPr>
          </w:p>
          <w:p w:rsidRPr="00995C4A" w:rsidR="00775AD8" w:rsidP="007B0E1C" w:rsidRDefault="004006D9" w14:paraId="43F2DBB7" w14:textId="77777777">
            <w:pPr>
              <w:spacing w:line="240" w:lineRule="auto"/>
              <w:rPr>
                <w:lang w:val="en-GB"/>
              </w:rPr>
            </w:pPr>
            <w:r w:rsidRPr="00995C4A">
              <w:rPr>
                <w:lang w:val="en-GB"/>
              </w:rPr>
              <w:t>Own-initiative opinion</w:t>
            </w:r>
          </w:p>
        </w:tc>
      </w:tr>
    </w:tbl>
    <w:p w:rsidRPr="00995C4A" w:rsidR="00C44DF2" w:rsidP="007B0E1C" w:rsidRDefault="004006D9" w14:paraId="69C93281" w14:textId="51102E74">
      <w:pPr>
        <w:jc w:val="center"/>
        <w:rPr>
          <w:b/>
          <w:lang w:val="en-GB"/>
        </w:rPr>
      </w:pPr>
      <w:r w:rsidRPr="00995C4A">
        <w:rPr>
          <w:lang w:val="en-GB"/>
        </w:rPr>
        <w:br w:type="page"/>
      </w:r>
      <w:r w:rsidRPr="00995C4A" w:rsidR="00B9380C">
        <w:rPr>
          <w:b/>
          <w:lang w:val="en-GB"/>
        </w:rPr>
        <w:t>O</w:t>
      </w:r>
      <w:r w:rsidRPr="00995C4A">
        <w:rPr>
          <w:b/>
          <w:lang w:val="en-GB"/>
        </w:rPr>
        <w:t xml:space="preserve">pinion of the </w:t>
      </w:r>
      <w:r w:rsidRPr="00995C4A" w:rsidR="005A3055">
        <w:rPr>
          <w:b/>
          <w:lang w:val="en-GB"/>
        </w:rPr>
        <w:t xml:space="preserve">European Committee of the Regions </w:t>
      </w:r>
      <w:r w:rsidRPr="00995C4A">
        <w:rPr>
          <w:b/>
          <w:lang w:val="en-GB"/>
        </w:rPr>
        <w:t>–</w:t>
      </w:r>
      <w:r w:rsidRPr="00995C4A" w:rsidR="00D15461">
        <w:rPr>
          <w:b/>
          <w:lang w:val="en-GB"/>
        </w:rPr>
        <w:t xml:space="preserve"> </w:t>
      </w:r>
      <w:r w:rsidRPr="00995C4A">
        <w:rPr>
          <w:b/>
          <w:lang w:val="en-GB"/>
        </w:rPr>
        <w:t>Localising energy production: the role of geothermal energy</w:t>
      </w:r>
    </w:p>
    <w:p w:rsidRPr="00995C4A" w:rsidR="00401921" w:rsidP="007B0E1C" w:rsidRDefault="00401921" w14:paraId="66A37985" w14:textId="77777777">
      <w:pPr>
        <w:jc w:val="left"/>
        <w:rPr>
          <w:lang w:val="en-GB"/>
        </w:rPr>
      </w:pPr>
    </w:p>
    <w:p w:rsidRPr="00995C4A" w:rsidR="00C44DF2" w:rsidRDefault="004006D9" w14:paraId="2879CA6B" w14:textId="77777777">
      <w:pPr>
        <w:keepNext/>
        <w:numPr>
          <w:ilvl w:val="0"/>
          <w:numId w:val="2"/>
        </w:numPr>
        <w:ind w:left="567" w:hanging="567"/>
        <w:rPr>
          <w:lang w:val="en-GB"/>
        </w:rPr>
      </w:pPr>
      <w:r w:rsidRPr="00995C4A">
        <w:rPr>
          <w:b/>
          <w:lang w:val="en-GB"/>
        </w:rPr>
        <w:t>POLICY RECOMMENDATIONS</w:t>
      </w:r>
    </w:p>
    <w:p w:rsidRPr="00995C4A" w:rsidR="00C44DF2" w:rsidRDefault="00C44DF2" w14:paraId="63574250" w14:textId="77777777">
      <w:pPr>
        <w:keepNext/>
        <w:rPr>
          <w:lang w:val="en-GB"/>
        </w:rPr>
      </w:pPr>
    </w:p>
    <w:p w:rsidRPr="00995C4A" w:rsidR="00C44DF2" w:rsidRDefault="004006D9" w14:paraId="2597CFEE" w14:textId="77777777">
      <w:pPr>
        <w:keepNext/>
        <w:rPr>
          <w:lang w:val="en-GB"/>
        </w:rPr>
      </w:pPr>
      <w:r w:rsidRPr="00995C4A">
        <w:rPr>
          <w:lang w:val="en-GB"/>
        </w:rPr>
        <w:t>THE EUROPEAN COMMITTEE OF THE REGIONS</w:t>
      </w:r>
    </w:p>
    <w:p w:rsidRPr="00995C4A" w:rsidR="000E05B0" w:rsidRDefault="000E05B0" w14:paraId="4C10A145" w14:textId="77777777">
      <w:pPr>
        <w:keepNext/>
        <w:rPr>
          <w:lang w:val="en-GB"/>
        </w:rPr>
      </w:pPr>
    </w:p>
    <w:p w:rsidRPr="00995C4A" w:rsidR="000E05B0" w:rsidP="007B0E1C" w:rsidRDefault="000E05B0" w14:paraId="3507BCAB" w14:textId="77777777">
      <w:pPr>
        <w:pStyle w:val="Heading1"/>
        <w:numPr>
          <w:ilvl w:val="0"/>
          <w:numId w:val="1"/>
        </w:numPr>
        <w:pBdr>
          <w:top w:val="nil"/>
          <w:left w:val="nil"/>
          <w:bottom w:val="nil"/>
          <w:right w:val="nil"/>
          <w:between w:val="nil"/>
        </w:pBdr>
        <w:ind w:left="567" w:hanging="567"/>
        <w:rPr>
          <w:lang w:val="en-GB"/>
        </w:rPr>
      </w:pPr>
      <w:r w:rsidRPr="00995C4A">
        <w:rPr>
          <w:lang w:val="en-GB"/>
        </w:rPr>
        <w:t xml:space="preserve">underlines that local energy has significant potential in terms of </w:t>
      </w:r>
      <w:r w:rsidRPr="00995C4A" w:rsidR="006D3B61">
        <w:rPr>
          <w:lang w:val="en-GB"/>
        </w:rPr>
        <w:t xml:space="preserve">providing </w:t>
      </w:r>
      <w:r w:rsidRPr="00995C4A">
        <w:rPr>
          <w:lang w:val="en-GB"/>
        </w:rPr>
        <w:t xml:space="preserve">energy security, </w:t>
      </w:r>
      <w:r w:rsidRPr="00995C4A" w:rsidR="00C05FBA">
        <w:rPr>
          <w:lang w:val="en-GB"/>
        </w:rPr>
        <w:t xml:space="preserve">increasing the share </w:t>
      </w:r>
      <w:r w:rsidRPr="00995C4A" w:rsidR="00CB4AC7">
        <w:rPr>
          <w:lang w:val="en-GB"/>
        </w:rPr>
        <w:t xml:space="preserve">of </w:t>
      </w:r>
      <w:r w:rsidRPr="00995C4A">
        <w:rPr>
          <w:lang w:val="en-GB"/>
        </w:rPr>
        <w:t>renewable energy</w:t>
      </w:r>
      <w:r w:rsidRPr="00995C4A" w:rsidR="00CF739D">
        <w:rPr>
          <w:lang w:val="en-GB"/>
        </w:rPr>
        <w:t xml:space="preserve"> and</w:t>
      </w:r>
      <w:r w:rsidRPr="00995C4A">
        <w:rPr>
          <w:lang w:val="en-GB"/>
        </w:rPr>
        <w:t xml:space="preserve"> </w:t>
      </w:r>
      <w:r w:rsidRPr="00995C4A" w:rsidR="00B85BBA">
        <w:rPr>
          <w:lang w:val="en-GB"/>
        </w:rPr>
        <w:t xml:space="preserve">securing </w:t>
      </w:r>
      <w:r w:rsidRPr="00995C4A">
        <w:rPr>
          <w:lang w:val="en-GB"/>
        </w:rPr>
        <w:t>affordable energy prices</w:t>
      </w:r>
      <w:r w:rsidRPr="00995C4A" w:rsidR="0017072A">
        <w:rPr>
          <w:lang w:val="en-GB"/>
        </w:rPr>
        <w:t>, there</w:t>
      </w:r>
      <w:r w:rsidRPr="00995C4A" w:rsidR="00837422">
        <w:rPr>
          <w:lang w:val="en-GB"/>
        </w:rPr>
        <w:t>by</w:t>
      </w:r>
      <w:r w:rsidRPr="00995C4A">
        <w:rPr>
          <w:lang w:val="en-GB"/>
        </w:rPr>
        <w:t xml:space="preserve"> resulting in </w:t>
      </w:r>
      <w:r w:rsidRPr="00995C4A" w:rsidR="00CF739D">
        <w:rPr>
          <w:lang w:val="en-GB"/>
        </w:rPr>
        <w:t>greater</w:t>
      </w:r>
      <w:r w:rsidRPr="00995C4A">
        <w:rPr>
          <w:lang w:val="en-GB"/>
        </w:rPr>
        <w:t xml:space="preserve"> energy independenc</w:t>
      </w:r>
      <w:r w:rsidRPr="00995C4A" w:rsidR="00CF739D">
        <w:rPr>
          <w:lang w:val="en-GB"/>
        </w:rPr>
        <w:t>e</w:t>
      </w:r>
      <w:r w:rsidRPr="00995C4A">
        <w:rPr>
          <w:lang w:val="en-GB"/>
        </w:rPr>
        <w:t xml:space="preserve"> for </w:t>
      </w:r>
      <w:r w:rsidRPr="00995C4A" w:rsidR="008B13CB">
        <w:rPr>
          <w:lang w:val="en-GB"/>
        </w:rPr>
        <w:t>local and regional authorities (</w:t>
      </w:r>
      <w:r w:rsidRPr="00995C4A">
        <w:rPr>
          <w:lang w:val="en-GB"/>
        </w:rPr>
        <w:t>LRAs</w:t>
      </w:r>
      <w:r w:rsidRPr="00995C4A" w:rsidR="008B13CB">
        <w:rPr>
          <w:lang w:val="en-GB"/>
        </w:rPr>
        <w:t>)</w:t>
      </w:r>
      <w:r w:rsidRPr="00995C4A">
        <w:rPr>
          <w:lang w:val="en-GB"/>
        </w:rPr>
        <w:t xml:space="preserve">. In </w:t>
      </w:r>
      <w:r w:rsidRPr="00995C4A" w:rsidR="00F11129">
        <w:rPr>
          <w:lang w:val="en-GB"/>
        </w:rPr>
        <w:t>this</w:t>
      </w:r>
      <w:r w:rsidRPr="00995C4A">
        <w:rPr>
          <w:lang w:val="en-GB"/>
        </w:rPr>
        <w:t xml:space="preserve"> context</w:t>
      </w:r>
      <w:r w:rsidRPr="00995C4A" w:rsidR="00F11129">
        <w:rPr>
          <w:lang w:val="en-GB"/>
        </w:rPr>
        <w:t xml:space="preserve">, the </w:t>
      </w:r>
      <w:r w:rsidRPr="00995C4A" w:rsidR="00972C0A">
        <w:rPr>
          <w:lang w:val="en-GB"/>
        </w:rPr>
        <w:t>European Committee of the Regions (</w:t>
      </w:r>
      <w:r w:rsidRPr="00995C4A" w:rsidR="00F11129">
        <w:rPr>
          <w:lang w:val="en-GB"/>
        </w:rPr>
        <w:t>CoR</w:t>
      </w:r>
      <w:r w:rsidRPr="00995C4A" w:rsidR="00972C0A">
        <w:rPr>
          <w:lang w:val="en-GB"/>
        </w:rPr>
        <w:t>)</w:t>
      </w:r>
      <w:r w:rsidRPr="00995C4A">
        <w:rPr>
          <w:lang w:val="en-GB"/>
        </w:rPr>
        <w:t xml:space="preserve"> highlights the untapped potential of geothermal energy</w:t>
      </w:r>
      <w:r w:rsidRPr="00995C4A" w:rsidR="00F11129">
        <w:rPr>
          <w:lang w:val="en-GB"/>
        </w:rPr>
        <w:t>, which is local and clean</w:t>
      </w:r>
      <w:r w:rsidRPr="00995C4A" w:rsidR="006B3674">
        <w:rPr>
          <w:lang w:val="en-GB"/>
        </w:rPr>
        <w:t>;</w:t>
      </w:r>
    </w:p>
    <w:p w:rsidRPr="00995C4A" w:rsidR="000E05B0" w:rsidRDefault="000E05B0" w14:paraId="04DDB57B" w14:textId="77777777">
      <w:pPr>
        <w:rPr>
          <w:lang w:val="en-GB"/>
        </w:rPr>
      </w:pPr>
    </w:p>
    <w:p w:rsidRPr="00995C4A" w:rsidR="00B81A31" w:rsidP="007B0E1C" w:rsidRDefault="00236A22" w14:paraId="4887DC7E" w14:textId="77777777">
      <w:pPr>
        <w:pStyle w:val="Heading1"/>
        <w:numPr>
          <w:ilvl w:val="0"/>
          <w:numId w:val="1"/>
        </w:numPr>
        <w:pBdr>
          <w:top w:val="nil"/>
          <w:left w:val="nil"/>
          <w:bottom w:val="nil"/>
          <w:right w:val="nil"/>
          <w:between w:val="nil"/>
        </w:pBdr>
        <w:ind w:left="567" w:hanging="567"/>
        <w:rPr>
          <w:lang w:val="en-GB"/>
        </w:rPr>
      </w:pPr>
      <w:r w:rsidRPr="00995C4A">
        <w:rPr>
          <w:lang w:val="en-GB"/>
        </w:rPr>
        <w:t>acknowledges that it is crucial to</w:t>
      </w:r>
      <w:r w:rsidRPr="00995C4A" w:rsidR="004006D9">
        <w:rPr>
          <w:lang w:val="en-GB"/>
        </w:rPr>
        <w:t xml:space="preserve"> </w:t>
      </w:r>
      <w:r w:rsidRPr="00995C4A">
        <w:rPr>
          <w:lang w:val="en-GB"/>
        </w:rPr>
        <w:t xml:space="preserve">empower cities and regions </w:t>
      </w:r>
      <w:r w:rsidRPr="00995C4A" w:rsidR="004006D9">
        <w:rPr>
          <w:lang w:val="en-GB"/>
        </w:rPr>
        <w:t xml:space="preserve">to deliver on the European Union targets for clean </w:t>
      </w:r>
      <w:r w:rsidRPr="00995C4A" w:rsidR="002D7711">
        <w:rPr>
          <w:lang w:val="en-GB"/>
        </w:rPr>
        <w:t xml:space="preserve">and renewable </w:t>
      </w:r>
      <w:r w:rsidRPr="00995C4A" w:rsidR="004006D9">
        <w:rPr>
          <w:lang w:val="en-GB"/>
        </w:rPr>
        <w:t>energy</w:t>
      </w:r>
      <w:r w:rsidRPr="00995C4A">
        <w:rPr>
          <w:lang w:val="en-GB"/>
        </w:rPr>
        <w:t xml:space="preserve"> and energy efficiency</w:t>
      </w:r>
      <w:r w:rsidRPr="00995C4A" w:rsidR="004006D9">
        <w:rPr>
          <w:lang w:val="en-GB"/>
        </w:rPr>
        <w:t xml:space="preserve"> as outlined in the </w:t>
      </w:r>
      <w:r w:rsidRPr="00995C4A" w:rsidR="00E02CC3">
        <w:rPr>
          <w:lang w:val="en-GB"/>
        </w:rPr>
        <w:t xml:space="preserve">COP28 Declaration, Fit for 55 Package, </w:t>
      </w:r>
      <w:r w:rsidRPr="00995C4A" w:rsidR="004006D9">
        <w:rPr>
          <w:lang w:val="en-GB"/>
        </w:rPr>
        <w:t>EU Solar Strategy</w:t>
      </w:r>
      <w:r w:rsidRPr="00995C4A" w:rsidR="008274DA">
        <w:rPr>
          <w:lang w:val="en-GB"/>
        </w:rPr>
        <w:t xml:space="preserve">, </w:t>
      </w:r>
      <w:r w:rsidRPr="00995C4A" w:rsidR="004006D9">
        <w:rPr>
          <w:lang w:val="en-GB"/>
        </w:rPr>
        <w:t>REPowerEU</w:t>
      </w:r>
      <w:r w:rsidRPr="00995C4A" w:rsidR="00352CBB">
        <w:rPr>
          <w:lang w:val="en-GB"/>
        </w:rPr>
        <w:t xml:space="preserve"> and </w:t>
      </w:r>
      <w:r w:rsidRPr="00995C4A" w:rsidR="00380C36">
        <w:rPr>
          <w:lang w:val="en-GB"/>
        </w:rPr>
        <w:t>the Green Deal</w:t>
      </w:r>
      <w:r w:rsidRPr="00995C4A">
        <w:rPr>
          <w:lang w:val="en-GB"/>
        </w:rPr>
        <w:t>;</w:t>
      </w:r>
    </w:p>
    <w:p w:rsidRPr="00995C4A" w:rsidR="00B81A31" w:rsidRDefault="00B81A31" w14:paraId="1F229914" w14:textId="77777777">
      <w:pPr>
        <w:rPr>
          <w:lang w:val="en-GB"/>
        </w:rPr>
      </w:pPr>
    </w:p>
    <w:p w:rsidRPr="00995C4A" w:rsidR="00291913" w:rsidP="007B0E1C" w:rsidRDefault="00CF739D" w14:paraId="0D575CCD" w14:textId="77777777">
      <w:pPr>
        <w:pStyle w:val="Heading1"/>
        <w:numPr>
          <w:ilvl w:val="0"/>
          <w:numId w:val="1"/>
        </w:numPr>
        <w:pBdr>
          <w:top w:val="nil"/>
          <w:left w:val="nil"/>
          <w:bottom w:val="nil"/>
          <w:right w:val="nil"/>
          <w:between w:val="nil"/>
        </w:pBdr>
        <w:ind w:left="567" w:hanging="567"/>
        <w:rPr>
          <w:lang w:val="en-GB"/>
        </w:rPr>
      </w:pPr>
      <w:r w:rsidRPr="00995C4A">
        <w:rPr>
          <w:lang w:val="en-GB"/>
        </w:rPr>
        <w:t xml:space="preserve">points out that </w:t>
      </w:r>
      <w:r w:rsidRPr="00995C4A" w:rsidR="00837422">
        <w:rPr>
          <w:lang w:val="en-GB"/>
        </w:rPr>
        <w:t xml:space="preserve">this </w:t>
      </w:r>
      <w:r w:rsidRPr="00995C4A" w:rsidR="00291913">
        <w:rPr>
          <w:lang w:val="en-GB"/>
        </w:rPr>
        <w:t xml:space="preserve">opinion </w:t>
      </w:r>
      <w:r w:rsidRPr="00995C4A" w:rsidR="007D688F">
        <w:rPr>
          <w:lang w:val="en-GB"/>
        </w:rPr>
        <w:t>dr</w:t>
      </w:r>
      <w:r w:rsidRPr="00995C4A" w:rsidR="002B7D50">
        <w:rPr>
          <w:lang w:val="en-GB"/>
        </w:rPr>
        <w:t>aws</w:t>
      </w:r>
      <w:r w:rsidRPr="00995C4A" w:rsidR="007D688F">
        <w:rPr>
          <w:lang w:val="en-GB"/>
        </w:rPr>
        <w:t xml:space="preserve"> attention to</w:t>
      </w:r>
      <w:r w:rsidRPr="00995C4A" w:rsidR="00291913">
        <w:rPr>
          <w:lang w:val="en-GB"/>
        </w:rPr>
        <w:t xml:space="preserve"> </w:t>
      </w:r>
      <w:r w:rsidRPr="00995C4A" w:rsidR="004241F7">
        <w:rPr>
          <w:lang w:val="en-GB"/>
        </w:rPr>
        <w:t>geotherma</w:t>
      </w:r>
      <w:r w:rsidRPr="00995C4A" w:rsidR="0017072A">
        <w:rPr>
          <w:lang w:val="en-GB"/>
        </w:rPr>
        <w:t>l energy</w:t>
      </w:r>
      <w:r w:rsidRPr="00995C4A" w:rsidR="00837422">
        <w:rPr>
          <w:lang w:val="en-GB"/>
        </w:rPr>
        <w:t>,</w:t>
      </w:r>
      <w:r w:rsidRPr="00995C4A" w:rsidR="0017072A">
        <w:rPr>
          <w:lang w:val="en-GB"/>
        </w:rPr>
        <w:t xml:space="preserve"> </w:t>
      </w:r>
      <w:r w:rsidRPr="00995C4A" w:rsidR="007D688F">
        <w:rPr>
          <w:lang w:val="en-GB"/>
        </w:rPr>
        <w:t xml:space="preserve">which </w:t>
      </w:r>
      <w:r w:rsidRPr="00995C4A" w:rsidR="00291913">
        <w:rPr>
          <w:lang w:val="en-GB"/>
        </w:rPr>
        <w:t xml:space="preserve">is an energy source that can </w:t>
      </w:r>
      <w:r w:rsidRPr="00995C4A" w:rsidR="00837422">
        <w:rPr>
          <w:lang w:val="en-GB"/>
        </w:rPr>
        <w:t>provide</w:t>
      </w:r>
      <w:r w:rsidRPr="00995C4A" w:rsidR="0017072A">
        <w:rPr>
          <w:lang w:val="en-GB"/>
        </w:rPr>
        <w:t xml:space="preserve"> </w:t>
      </w:r>
      <w:r w:rsidRPr="00995C4A" w:rsidR="00291913">
        <w:rPr>
          <w:lang w:val="en-GB"/>
        </w:rPr>
        <w:t>benefits</w:t>
      </w:r>
      <w:r w:rsidRPr="00995C4A" w:rsidR="0017072A">
        <w:rPr>
          <w:lang w:val="en-GB"/>
        </w:rPr>
        <w:t xml:space="preserve"> as well as</w:t>
      </w:r>
      <w:r w:rsidRPr="00995C4A" w:rsidR="00F11129">
        <w:rPr>
          <w:lang w:val="en-GB"/>
        </w:rPr>
        <w:t xml:space="preserve"> </w:t>
      </w:r>
      <w:r w:rsidRPr="00995C4A" w:rsidR="00837422">
        <w:rPr>
          <w:lang w:val="en-GB"/>
        </w:rPr>
        <w:t xml:space="preserve">meet </w:t>
      </w:r>
      <w:r w:rsidRPr="00995C4A" w:rsidR="00F11129">
        <w:rPr>
          <w:lang w:val="en-GB"/>
        </w:rPr>
        <w:t>the</w:t>
      </w:r>
      <w:r w:rsidRPr="00995C4A" w:rsidR="0017072A">
        <w:rPr>
          <w:lang w:val="en-GB"/>
        </w:rPr>
        <w:t xml:space="preserve"> requirements</w:t>
      </w:r>
      <w:r w:rsidRPr="00995C4A" w:rsidR="00291913">
        <w:rPr>
          <w:lang w:val="en-GB"/>
        </w:rPr>
        <w:t xml:space="preserve"> for localising energy production in Europe</w:t>
      </w:r>
      <w:r w:rsidRPr="00995C4A" w:rsidR="004241F7">
        <w:rPr>
          <w:lang w:val="en-GB"/>
        </w:rPr>
        <w:t>;</w:t>
      </w:r>
    </w:p>
    <w:p w:rsidRPr="00995C4A" w:rsidR="00C44DF2" w:rsidRDefault="00C44DF2" w14:paraId="6B8FD15A" w14:textId="77777777">
      <w:pPr>
        <w:rPr>
          <w:lang w:val="en-GB"/>
        </w:rPr>
      </w:pPr>
    </w:p>
    <w:p w:rsidRPr="00995C4A" w:rsidR="004C2705" w:rsidP="007B0E1C" w:rsidRDefault="00236A22" w14:paraId="075F6255" w14:textId="77777777">
      <w:pPr>
        <w:pStyle w:val="Heading1"/>
        <w:numPr>
          <w:ilvl w:val="0"/>
          <w:numId w:val="1"/>
        </w:numPr>
        <w:pBdr>
          <w:top w:val="nil"/>
          <w:left w:val="nil"/>
          <w:bottom w:val="nil"/>
          <w:right w:val="nil"/>
          <w:between w:val="nil"/>
        </w:pBdr>
        <w:ind w:left="567" w:hanging="567"/>
        <w:rPr>
          <w:lang w:val="en-GB"/>
        </w:rPr>
      </w:pPr>
      <w:r w:rsidRPr="00995C4A">
        <w:rPr>
          <w:lang w:val="en-GB"/>
        </w:rPr>
        <w:t xml:space="preserve">considers </w:t>
      </w:r>
      <w:r w:rsidRPr="00995C4A" w:rsidR="004006D9">
        <w:rPr>
          <w:lang w:val="en-GB"/>
        </w:rPr>
        <w:t>that a local</w:t>
      </w:r>
      <w:r w:rsidRPr="00995C4A">
        <w:rPr>
          <w:lang w:val="en-GB"/>
        </w:rPr>
        <w:t>ly</w:t>
      </w:r>
      <w:r w:rsidRPr="00995C4A" w:rsidR="00C575BA">
        <w:rPr>
          <w:lang w:val="en-GB"/>
        </w:rPr>
        <w:t xml:space="preserve"> </w:t>
      </w:r>
      <w:r w:rsidRPr="00995C4A">
        <w:rPr>
          <w:lang w:val="en-GB"/>
        </w:rPr>
        <w:t xml:space="preserve">produced, </w:t>
      </w:r>
      <w:r w:rsidRPr="00995C4A" w:rsidR="002D7711">
        <w:rPr>
          <w:lang w:val="en-GB"/>
        </w:rPr>
        <w:t>renewable</w:t>
      </w:r>
      <w:r w:rsidRPr="00995C4A" w:rsidR="004006D9">
        <w:rPr>
          <w:lang w:val="en-GB"/>
        </w:rPr>
        <w:t xml:space="preserve"> energy</w:t>
      </w:r>
      <w:r w:rsidRPr="00995C4A">
        <w:rPr>
          <w:lang w:val="en-GB"/>
        </w:rPr>
        <w:t xml:space="preserve"> like geothermal</w:t>
      </w:r>
      <w:r w:rsidRPr="00995C4A" w:rsidR="004006D9">
        <w:rPr>
          <w:lang w:val="en-GB"/>
        </w:rPr>
        <w:t xml:space="preserve"> </w:t>
      </w:r>
      <w:r w:rsidRPr="00995C4A">
        <w:rPr>
          <w:lang w:val="en-GB"/>
        </w:rPr>
        <w:t xml:space="preserve">could play a considerable role in </w:t>
      </w:r>
      <w:r w:rsidRPr="00995C4A" w:rsidR="00CF739D">
        <w:rPr>
          <w:lang w:val="en-GB"/>
        </w:rPr>
        <w:t>making</w:t>
      </w:r>
      <w:r w:rsidRPr="00995C4A" w:rsidR="004006D9">
        <w:rPr>
          <w:lang w:val="en-GB"/>
        </w:rPr>
        <w:t xml:space="preserve"> LRAs </w:t>
      </w:r>
      <w:r w:rsidRPr="00995C4A" w:rsidR="00CF739D">
        <w:rPr>
          <w:lang w:val="en-GB"/>
        </w:rPr>
        <w:t xml:space="preserve">more resilient </w:t>
      </w:r>
      <w:r w:rsidRPr="00995C4A">
        <w:rPr>
          <w:lang w:val="en-GB"/>
        </w:rPr>
        <w:t>whil</w:t>
      </w:r>
      <w:r w:rsidRPr="00995C4A" w:rsidR="00CF739D">
        <w:rPr>
          <w:lang w:val="en-GB"/>
        </w:rPr>
        <w:t>e</w:t>
      </w:r>
      <w:r w:rsidRPr="00995C4A">
        <w:rPr>
          <w:lang w:val="en-GB"/>
        </w:rPr>
        <w:t xml:space="preserve"> making the EU more energy independent</w:t>
      </w:r>
      <w:r w:rsidRPr="00995C4A" w:rsidR="002447AF">
        <w:rPr>
          <w:lang w:val="en-GB"/>
        </w:rPr>
        <w:t xml:space="preserve">, </w:t>
      </w:r>
      <w:r w:rsidRPr="00995C4A">
        <w:rPr>
          <w:lang w:val="en-GB"/>
        </w:rPr>
        <w:t>energy secure</w:t>
      </w:r>
      <w:r w:rsidRPr="00995C4A" w:rsidR="008A3CA3">
        <w:rPr>
          <w:lang w:val="en-GB"/>
        </w:rPr>
        <w:t xml:space="preserve"> </w:t>
      </w:r>
      <w:r w:rsidRPr="00995C4A" w:rsidR="0017072A">
        <w:rPr>
          <w:lang w:val="en-GB"/>
        </w:rPr>
        <w:t>a</w:t>
      </w:r>
      <w:r w:rsidRPr="00995C4A" w:rsidR="002447AF">
        <w:rPr>
          <w:lang w:val="en-GB"/>
        </w:rPr>
        <w:t>nd</w:t>
      </w:r>
      <w:r w:rsidRPr="00995C4A" w:rsidR="008A3CA3">
        <w:rPr>
          <w:lang w:val="en-GB"/>
        </w:rPr>
        <w:t xml:space="preserve"> contributing to decarbonisation goals</w:t>
      </w:r>
      <w:r w:rsidRPr="00995C4A" w:rsidR="004006D9">
        <w:rPr>
          <w:lang w:val="en-GB"/>
        </w:rPr>
        <w:t xml:space="preserve">. Geothermal energy </w:t>
      </w:r>
      <w:r w:rsidRPr="00995C4A" w:rsidR="008C0988">
        <w:rPr>
          <w:lang w:val="en-GB"/>
        </w:rPr>
        <w:t xml:space="preserve">has </w:t>
      </w:r>
      <w:r w:rsidRPr="00995C4A" w:rsidR="004006D9">
        <w:rPr>
          <w:lang w:val="en-GB"/>
        </w:rPr>
        <w:t xml:space="preserve">direct benefits for local communities and economies that </w:t>
      </w:r>
      <w:r w:rsidRPr="00995C4A" w:rsidR="00F11129">
        <w:rPr>
          <w:lang w:val="en-GB"/>
        </w:rPr>
        <w:t xml:space="preserve">would </w:t>
      </w:r>
      <w:r w:rsidRPr="00995C4A">
        <w:rPr>
          <w:lang w:val="en-GB"/>
        </w:rPr>
        <w:t>benefit from an EU-wide strategy</w:t>
      </w:r>
      <w:r w:rsidRPr="00995C4A" w:rsidR="004C2705">
        <w:rPr>
          <w:lang w:val="en-GB"/>
        </w:rPr>
        <w:t>;</w:t>
      </w:r>
    </w:p>
    <w:p w:rsidRPr="00995C4A" w:rsidR="004C2705" w:rsidRDefault="004C2705" w14:paraId="714C1B70" w14:textId="77777777">
      <w:pPr>
        <w:rPr>
          <w:lang w:val="en-GB"/>
        </w:rPr>
      </w:pPr>
    </w:p>
    <w:p w:rsidRPr="00995C4A" w:rsidR="00C25206" w:rsidP="007B0E1C" w:rsidRDefault="007C004F" w14:paraId="0FC5793F" w14:textId="77777777">
      <w:pPr>
        <w:pStyle w:val="Heading1"/>
        <w:numPr>
          <w:ilvl w:val="0"/>
          <w:numId w:val="1"/>
        </w:numPr>
        <w:pBdr>
          <w:top w:val="nil"/>
          <w:left w:val="nil"/>
          <w:bottom w:val="nil"/>
          <w:right w:val="nil"/>
          <w:between w:val="nil"/>
        </w:pBdr>
        <w:ind w:left="567" w:hanging="567"/>
        <w:rPr>
          <w:lang w:val="en-GB"/>
        </w:rPr>
      </w:pPr>
      <w:r w:rsidRPr="00995C4A">
        <w:rPr>
          <w:lang w:val="en-GB"/>
        </w:rPr>
        <w:t>notes</w:t>
      </w:r>
      <w:r w:rsidRPr="00995C4A" w:rsidR="000C7519">
        <w:rPr>
          <w:lang w:val="en-GB"/>
        </w:rPr>
        <w:t xml:space="preserve"> that t</w:t>
      </w:r>
      <w:r w:rsidRPr="00995C4A" w:rsidR="004006D9">
        <w:rPr>
          <w:lang w:val="en-GB"/>
        </w:rPr>
        <w:t xml:space="preserve">he potential of geothermal energy is discussed in various European </w:t>
      </w:r>
      <w:r w:rsidRPr="00995C4A" w:rsidR="00CF739D">
        <w:rPr>
          <w:lang w:val="en-GB"/>
        </w:rPr>
        <w:t>i</w:t>
      </w:r>
      <w:r w:rsidRPr="00995C4A" w:rsidR="004006D9">
        <w:rPr>
          <w:lang w:val="en-GB"/>
        </w:rPr>
        <w:t>nstitutions such as at the Committee on Industry, Research and Energy at the European Parliament</w:t>
      </w:r>
      <w:r w:rsidRPr="00995C4A" w:rsidR="00A03539">
        <w:rPr>
          <w:lang w:val="en-GB"/>
        </w:rPr>
        <w:t xml:space="preserve"> in its </w:t>
      </w:r>
      <w:r w:rsidRPr="00995C4A" w:rsidR="00A03539">
        <w:rPr>
          <w:i/>
          <w:lang w:val="en-GB"/>
        </w:rPr>
        <w:t xml:space="preserve">Report on </w:t>
      </w:r>
      <w:r w:rsidRPr="00995C4A" w:rsidR="0016363A">
        <w:rPr>
          <w:i/>
          <w:lang w:val="en-GB"/>
        </w:rPr>
        <w:t>geothermal energy</w:t>
      </w:r>
      <w:r w:rsidRPr="00995C4A" w:rsidR="0016363A">
        <w:rPr>
          <w:lang w:val="en-GB"/>
        </w:rPr>
        <w:t xml:space="preserve"> (2023/2111(INI))</w:t>
      </w:r>
      <w:r w:rsidRPr="00995C4A" w:rsidR="000C7519">
        <w:rPr>
          <w:lang w:val="en-GB"/>
        </w:rPr>
        <w:t xml:space="preserve">. </w:t>
      </w:r>
      <w:r w:rsidRPr="00995C4A" w:rsidR="00804932">
        <w:rPr>
          <w:lang w:val="en-GB"/>
        </w:rPr>
        <w:t>Th</w:t>
      </w:r>
      <w:r w:rsidRPr="00995C4A" w:rsidR="00CF739D">
        <w:rPr>
          <w:lang w:val="en-GB"/>
        </w:rPr>
        <w:t>is</w:t>
      </w:r>
      <w:r w:rsidRPr="00995C4A" w:rsidR="00804932">
        <w:rPr>
          <w:lang w:val="en-GB"/>
        </w:rPr>
        <w:t xml:space="preserve"> </w:t>
      </w:r>
      <w:r w:rsidRPr="00995C4A" w:rsidR="00332935">
        <w:rPr>
          <w:lang w:val="en-GB"/>
        </w:rPr>
        <w:t xml:space="preserve">opinion </w:t>
      </w:r>
      <w:r w:rsidRPr="00995C4A">
        <w:rPr>
          <w:lang w:val="en-GB"/>
        </w:rPr>
        <w:t xml:space="preserve">draws elements </w:t>
      </w:r>
      <w:r w:rsidRPr="00995C4A" w:rsidR="00CF739D">
        <w:rPr>
          <w:lang w:val="en-GB"/>
        </w:rPr>
        <w:t xml:space="preserve">from </w:t>
      </w:r>
      <w:r w:rsidRPr="00995C4A">
        <w:rPr>
          <w:lang w:val="en-GB"/>
        </w:rPr>
        <w:t xml:space="preserve">and follows up </w:t>
      </w:r>
      <w:r w:rsidRPr="00995C4A" w:rsidR="00CF739D">
        <w:rPr>
          <w:lang w:val="en-GB"/>
        </w:rPr>
        <w:t xml:space="preserve">on </w:t>
      </w:r>
      <w:r w:rsidRPr="00995C4A" w:rsidR="00332935">
        <w:rPr>
          <w:lang w:val="en-GB"/>
        </w:rPr>
        <w:t xml:space="preserve">relevant </w:t>
      </w:r>
      <w:r w:rsidRPr="00995C4A" w:rsidR="00975D0B">
        <w:rPr>
          <w:lang w:val="en-GB"/>
        </w:rPr>
        <w:t>CoR</w:t>
      </w:r>
      <w:r w:rsidRPr="00995C4A" w:rsidR="005815B6">
        <w:rPr>
          <w:lang w:val="en-GB"/>
        </w:rPr>
        <w:t xml:space="preserve"> opinion</w:t>
      </w:r>
      <w:r w:rsidRPr="00995C4A">
        <w:rPr>
          <w:lang w:val="en-GB"/>
        </w:rPr>
        <w:t>s</w:t>
      </w:r>
      <w:r w:rsidRPr="00995C4A" w:rsidR="003C5DE0">
        <w:rPr>
          <w:rStyle w:val="FootnoteReference"/>
          <w:lang w:val="en-GB"/>
        </w:rPr>
        <w:footnoteReference w:id="1"/>
      </w:r>
      <w:r w:rsidRPr="00995C4A" w:rsidR="00D771E3">
        <w:rPr>
          <w:lang w:val="en-GB"/>
        </w:rPr>
        <w:t>;</w:t>
      </w:r>
    </w:p>
    <w:p w:rsidRPr="00995C4A" w:rsidR="00C25206" w:rsidRDefault="00C25206" w14:paraId="25C92C8C" w14:textId="77777777">
      <w:pPr>
        <w:rPr>
          <w:lang w:val="en-GB"/>
        </w:rPr>
      </w:pPr>
    </w:p>
    <w:p w:rsidRPr="00995C4A" w:rsidR="00C44DF2" w:rsidP="007B0E1C" w:rsidRDefault="004006D9" w14:paraId="31BEB55A" w14:textId="77777777">
      <w:pPr>
        <w:pStyle w:val="Heading1"/>
        <w:numPr>
          <w:ilvl w:val="0"/>
          <w:numId w:val="1"/>
        </w:numPr>
        <w:pBdr>
          <w:top w:val="nil"/>
          <w:left w:val="nil"/>
          <w:bottom w:val="nil"/>
          <w:right w:val="nil"/>
          <w:between w:val="nil"/>
        </w:pBdr>
        <w:ind w:left="567" w:hanging="567"/>
        <w:rPr>
          <w:lang w:val="en-GB"/>
        </w:rPr>
      </w:pPr>
      <w:r w:rsidRPr="00995C4A">
        <w:rPr>
          <w:lang w:val="en-GB"/>
        </w:rPr>
        <w:t xml:space="preserve">supports mechanisms for developing </w:t>
      </w:r>
      <w:r w:rsidRPr="00995C4A" w:rsidR="00103C35">
        <w:rPr>
          <w:lang w:val="en-GB"/>
        </w:rPr>
        <w:t>municipal</w:t>
      </w:r>
      <w:r w:rsidRPr="00995C4A" w:rsidR="00DA0A72">
        <w:rPr>
          <w:lang w:val="en-GB"/>
        </w:rPr>
        <w:t>l</w:t>
      </w:r>
      <w:r w:rsidRPr="00995C4A" w:rsidR="00103C35">
        <w:rPr>
          <w:lang w:val="en-GB"/>
        </w:rPr>
        <w:t>y</w:t>
      </w:r>
      <w:r w:rsidRPr="00995C4A" w:rsidR="00F11129">
        <w:rPr>
          <w:lang w:val="en-GB"/>
        </w:rPr>
        <w:t>-</w:t>
      </w:r>
      <w:r w:rsidRPr="00995C4A">
        <w:rPr>
          <w:lang w:val="en-GB"/>
        </w:rPr>
        <w:t>owned renewable heating</w:t>
      </w:r>
      <w:r w:rsidRPr="00995C4A" w:rsidR="00127289">
        <w:rPr>
          <w:lang w:val="en-GB"/>
        </w:rPr>
        <w:t xml:space="preserve"> and </w:t>
      </w:r>
      <w:r w:rsidRPr="00995C4A">
        <w:rPr>
          <w:lang w:val="en-GB"/>
        </w:rPr>
        <w:t xml:space="preserve">cooling </w:t>
      </w:r>
      <w:r w:rsidRPr="00995C4A" w:rsidR="00DF182C">
        <w:rPr>
          <w:lang w:val="en-GB"/>
        </w:rPr>
        <w:t xml:space="preserve">and </w:t>
      </w:r>
      <w:r w:rsidRPr="00995C4A" w:rsidR="00073331">
        <w:rPr>
          <w:lang w:val="en-GB"/>
        </w:rPr>
        <w:t xml:space="preserve">other </w:t>
      </w:r>
      <w:r w:rsidRPr="00995C4A" w:rsidR="00DF182C">
        <w:rPr>
          <w:lang w:val="en-GB"/>
        </w:rPr>
        <w:t xml:space="preserve">energy </w:t>
      </w:r>
      <w:r w:rsidRPr="00995C4A" w:rsidR="004012D6">
        <w:rPr>
          <w:lang w:val="en-GB"/>
        </w:rPr>
        <w:t xml:space="preserve">generation </w:t>
      </w:r>
      <w:r w:rsidRPr="00995C4A">
        <w:rPr>
          <w:lang w:val="en-GB"/>
        </w:rPr>
        <w:t xml:space="preserve">systems based on locally available </w:t>
      </w:r>
      <w:r w:rsidRPr="00995C4A" w:rsidR="002D7711">
        <w:rPr>
          <w:lang w:val="en-GB"/>
        </w:rPr>
        <w:t>renewable</w:t>
      </w:r>
      <w:r w:rsidRPr="00995C4A">
        <w:rPr>
          <w:lang w:val="en-GB"/>
        </w:rPr>
        <w:t xml:space="preserve"> energy sources</w:t>
      </w:r>
      <w:r w:rsidRPr="00995C4A" w:rsidR="00236A22">
        <w:rPr>
          <w:lang w:val="en-GB"/>
        </w:rPr>
        <w:t>;</w:t>
      </w:r>
    </w:p>
    <w:p w:rsidRPr="00995C4A" w:rsidR="003A6A04" w:rsidRDefault="003A6A04" w14:paraId="7C4003E6" w14:textId="77777777">
      <w:pPr>
        <w:rPr>
          <w:lang w:val="en-GB"/>
        </w:rPr>
      </w:pPr>
    </w:p>
    <w:p w:rsidRPr="00995C4A" w:rsidR="003A6A04" w:rsidP="007B0E1C" w:rsidRDefault="003A6A04" w14:paraId="3EE29653" w14:textId="77777777">
      <w:pPr>
        <w:pStyle w:val="Heading1"/>
        <w:numPr>
          <w:ilvl w:val="0"/>
          <w:numId w:val="1"/>
        </w:numPr>
        <w:pBdr>
          <w:top w:val="nil"/>
          <w:left w:val="nil"/>
          <w:bottom w:val="nil"/>
          <w:right w:val="nil"/>
          <w:between w:val="nil"/>
        </w:pBdr>
        <w:ind w:left="567" w:hanging="567"/>
        <w:rPr>
          <w:lang w:val="en-GB"/>
        </w:rPr>
      </w:pPr>
      <w:r w:rsidRPr="00995C4A">
        <w:rPr>
          <w:lang w:val="en-GB"/>
        </w:rPr>
        <w:t xml:space="preserve">notes that despite using mature technologies </w:t>
      </w:r>
      <w:r w:rsidRPr="00995C4A" w:rsidR="00AB1F92">
        <w:rPr>
          <w:lang w:val="en-GB"/>
        </w:rPr>
        <w:t>to explore it</w:t>
      </w:r>
      <w:r w:rsidRPr="00995C4A">
        <w:rPr>
          <w:lang w:val="en-GB"/>
        </w:rPr>
        <w:t xml:space="preserve">, geothermal </w:t>
      </w:r>
      <w:r w:rsidRPr="00995C4A" w:rsidR="00AB1F92">
        <w:rPr>
          <w:lang w:val="en-GB"/>
        </w:rPr>
        <w:t xml:space="preserve">energy </w:t>
      </w:r>
      <w:r w:rsidRPr="00995C4A">
        <w:rPr>
          <w:lang w:val="en-GB"/>
        </w:rPr>
        <w:t xml:space="preserve">is still relatively expensive </w:t>
      </w:r>
      <w:r w:rsidRPr="00995C4A" w:rsidR="002D7711">
        <w:rPr>
          <w:lang w:val="en-GB"/>
        </w:rPr>
        <w:t xml:space="preserve">in many cases, </w:t>
      </w:r>
      <w:r w:rsidRPr="00995C4A">
        <w:rPr>
          <w:lang w:val="en-GB"/>
        </w:rPr>
        <w:t>and requires measures to increase capacity, public support and transparency</w:t>
      </w:r>
      <w:r w:rsidRPr="00995C4A" w:rsidR="00D63FAA">
        <w:rPr>
          <w:lang w:val="en-GB"/>
        </w:rPr>
        <w:t>.</w:t>
      </w:r>
      <w:r w:rsidRPr="00995C4A">
        <w:rPr>
          <w:lang w:val="en-GB"/>
        </w:rPr>
        <w:t xml:space="preserve"> </w:t>
      </w:r>
      <w:r w:rsidRPr="00995C4A" w:rsidR="00E870F0">
        <w:rPr>
          <w:lang w:val="en-GB"/>
        </w:rPr>
        <w:t xml:space="preserve">These </w:t>
      </w:r>
      <w:r w:rsidRPr="00995C4A">
        <w:rPr>
          <w:lang w:val="en-GB"/>
        </w:rPr>
        <w:t>includ</w:t>
      </w:r>
      <w:r w:rsidRPr="00995C4A" w:rsidR="00E870F0">
        <w:rPr>
          <w:lang w:val="en-GB"/>
        </w:rPr>
        <w:t xml:space="preserve">e </w:t>
      </w:r>
      <w:r w:rsidRPr="00995C4A">
        <w:rPr>
          <w:lang w:val="en-GB"/>
        </w:rPr>
        <w:t>speeding up the permitting and licencing process of local energy generation</w:t>
      </w:r>
      <w:r w:rsidRPr="00995C4A" w:rsidR="00E4395E">
        <w:rPr>
          <w:lang w:val="en-GB"/>
        </w:rPr>
        <w:t xml:space="preserve"> </w:t>
      </w:r>
      <w:r w:rsidRPr="00995C4A">
        <w:rPr>
          <w:lang w:val="en-GB"/>
        </w:rPr>
        <w:t>to scale up and be price-competitive;</w:t>
      </w:r>
    </w:p>
    <w:p w:rsidRPr="00995C4A" w:rsidR="004C231E" w:rsidRDefault="004C231E" w14:paraId="15ADCD17" w14:textId="77777777">
      <w:pPr>
        <w:rPr>
          <w:lang w:val="en-GB"/>
        </w:rPr>
      </w:pPr>
    </w:p>
    <w:p w:rsidRPr="00995C4A" w:rsidR="00C44DF2" w:rsidP="007B0E1C" w:rsidRDefault="004D7C4C" w14:paraId="47A1A427" w14:textId="77777777">
      <w:pPr>
        <w:pStyle w:val="Heading1"/>
        <w:numPr>
          <w:ilvl w:val="0"/>
          <w:numId w:val="1"/>
        </w:numPr>
        <w:pBdr>
          <w:top w:val="nil"/>
          <w:left w:val="nil"/>
          <w:bottom w:val="nil"/>
          <w:right w:val="nil"/>
          <w:between w:val="nil"/>
        </w:pBdr>
        <w:ind w:left="567" w:hanging="567"/>
        <w:rPr>
          <w:lang w:val="en-GB"/>
        </w:rPr>
      </w:pPr>
      <w:r w:rsidRPr="00995C4A">
        <w:rPr>
          <w:lang w:val="en-GB"/>
        </w:rPr>
        <w:t>h</w:t>
      </w:r>
      <w:r w:rsidRPr="00995C4A" w:rsidR="004006D9">
        <w:rPr>
          <w:lang w:val="en-GB"/>
        </w:rPr>
        <w:t xml:space="preserve">ighlights that </w:t>
      </w:r>
      <w:r w:rsidRPr="00995C4A">
        <w:rPr>
          <w:lang w:val="en-GB"/>
        </w:rPr>
        <w:t xml:space="preserve">policy intervention </w:t>
      </w:r>
      <w:r w:rsidRPr="00995C4A" w:rsidR="004006D9">
        <w:rPr>
          <w:lang w:val="en-GB"/>
        </w:rPr>
        <w:t xml:space="preserve">is especially relevant for </w:t>
      </w:r>
      <w:r w:rsidRPr="00995C4A">
        <w:rPr>
          <w:lang w:val="en-GB"/>
        </w:rPr>
        <w:t xml:space="preserve">large-scale </w:t>
      </w:r>
      <w:r w:rsidRPr="00995C4A" w:rsidR="004006D9">
        <w:rPr>
          <w:lang w:val="en-GB"/>
        </w:rPr>
        <w:t>geothermal energy investments</w:t>
      </w:r>
      <w:r w:rsidRPr="00995C4A" w:rsidR="00AB1F92">
        <w:rPr>
          <w:lang w:val="en-GB"/>
        </w:rPr>
        <w:t>,</w:t>
      </w:r>
      <w:r w:rsidRPr="00995C4A" w:rsidR="004006D9">
        <w:rPr>
          <w:lang w:val="en-GB"/>
        </w:rPr>
        <w:t xml:space="preserve"> which can be of considerable cost</w:t>
      </w:r>
      <w:r w:rsidRPr="00995C4A" w:rsidR="009A15E3">
        <w:rPr>
          <w:lang w:val="en-GB"/>
        </w:rPr>
        <w:t>, and which can have</w:t>
      </w:r>
      <w:r w:rsidRPr="00995C4A" w:rsidR="004006D9">
        <w:rPr>
          <w:lang w:val="en-GB"/>
        </w:rPr>
        <w:t xml:space="preserve"> a significant environmental footprint </w:t>
      </w:r>
      <w:r w:rsidRPr="00995C4A" w:rsidR="009A15E3">
        <w:rPr>
          <w:lang w:val="en-GB"/>
        </w:rPr>
        <w:t xml:space="preserve">if </w:t>
      </w:r>
      <w:r w:rsidRPr="00995C4A" w:rsidR="004006D9">
        <w:rPr>
          <w:lang w:val="en-GB"/>
        </w:rPr>
        <w:t>not handled properly</w:t>
      </w:r>
      <w:r w:rsidRPr="00995C4A" w:rsidR="009A15E3">
        <w:rPr>
          <w:lang w:val="en-GB"/>
        </w:rPr>
        <w:t>;</w:t>
      </w:r>
    </w:p>
    <w:p w:rsidRPr="00995C4A" w:rsidR="00C44DF2" w:rsidRDefault="00C44DF2" w14:paraId="1F2339DF" w14:textId="77777777">
      <w:pPr>
        <w:rPr>
          <w:lang w:val="en-GB"/>
        </w:rPr>
      </w:pPr>
    </w:p>
    <w:p w:rsidRPr="00995C4A" w:rsidR="00C44DF2" w:rsidP="007B0E1C" w:rsidRDefault="004006D9" w14:paraId="256FE15A" w14:textId="77777777">
      <w:pPr>
        <w:pStyle w:val="Heading1"/>
        <w:numPr>
          <w:ilvl w:val="0"/>
          <w:numId w:val="1"/>
        </w:numPr>
        <w:pBdr>
          <w:top w:val="nil"/>
          <w:left w:val="nil"/>
          <w:bottom w:val="nil"/>
          <w:right w:val="nil"/>
          <w:between w:val="nil"/>
        </w:pBdr>
        <w:ind w:left="567" w:hanging="567"/>
        <w:rPr>
          <w:lang w:val="en-GB"/>
        </w:rPr>
      </w:pPr>
      <w:r w:rsidRPr="00995C4A">
        <w:rPr>
          <w:lang w:val="en-GB"/>
        </w:rPr>
        <w:t xml:space="preserve">notes that existing and novel technical </w:t>
      </w:r>
      <w:r w:rsidRPr="00995C4A" w:rsidR="00E1706E">
        <w:rPr>
          <w:lang w:val="en-GB"/>
        </w:rPr>
        <w:t xml:space="preserve">assistance </w:t>
      </w:r>
      <w:r w:rsidRPr="00995C4A">
        <w:rPr>
          <w:lang w:val="en-GB"/>
        </w:rPr>
        <w:t xml:space="preserve">and financial instruments </w:t>
      </w:r>
      <w:r w:rsidRPr="00995C4A" w:rsidR="006B367E">
        <w:rPr>
          <w:lang w:val="en-GB"/>
        </w:rPr>
        <w:t xml:space="preserve">already </w:t>
      </w:r>
      <w:r w:rsidRPr="00995C4A" w:rsidR="00FA257A">
        <w:rPr>
          <w:lang w:val="en-GB"/>
        </w:rPr>
        <w:t xml:space="preserve">at </w:t>
      </w:r>
      <w:r w:rsidRPr="00995C4A" w:rsidR="004D7C4C">
        <w:rPr>
          <w:lang w:val="en-GB"/>
        </w:rPr>
        <w:t xml:space="preserve">the </w:t>
      </w:r>
      <w:r w:rsidRPr="00995C4A" w:rsidR="00FA257A">
        <w:rPr>
          <w:lang w:val="en-GB"/>
        </w:rPr>
        <w:t xml:space="preserve">disposal of LRAs </w:t>
      </w:r>
      <w:r w:rsidRPr="00995C4A">
        <w:rPr>
          <w:lang w:val="en-GB"/>
        </w:rPr>
        <w:t>need to support local energy surveying</w:t>
      </w:r>
      <w:r w:rsidRPr="00995C4A" w:rsidR="004D7C4C">
        <w:rPr>
          <w:lang w:val="en-GB"/>
        </w:rPr>
        <w:t xml:space="preserve">, </w:t>
      </w:r>
      <w:r w:rsidRPr="00995C4A">
        <w:rPr>
          <w:lang w:val="en-GB"/>
        </w:rPr>
        <w:t>planning</w:t>
      </w:r>
      <w:r w:rsidRPr="00995C4A" w:rsidR="00655DCB">
        <w:rPr>
          <w:lang w:val="en-GB"/>
        </w:rPr>
        <w:t xml:space="preserve"> and</w:t>
      </w:r>
      <w:r w:rsidRPr="00995C4A">
        <w:rPr>
          <w:lang w:val="en-GB"/>
        </w:rPr>
        <w:t xml:space="preserve"> production</w:t>
      </w:r>
      <w:r w:rsidRPr="00995C4A" w:rsidR="004D7C4C">
        <w:rPr>
          <w:lang w:val="en-GB"/>
        </w:rPr>
        <w:t xml:space="preserve"> activities</w:t>
      </w:r>
      <w:r w:rsidRPr="00995C4A" w:rsidR="00655DCB">
        <w:rPr>
          <w:lang w:val="en-GB"/>
        </w:rPr>
        <w:t xml:space="preserve">. </w:t>
      </w:r>
      <w:r w:rsidRPr="00995C4A" w:rsidR="00E25F53">
        <w:rPr>
          <w:lang w:val="en-GB"/>
        </w:rPr>
        <w:t>Th</w:t>
      </w:r>
      <w:r w:rsidRPr="00995C4A" w:rsidR="004D7C4C">
        <w:rPr>
          <w:lang w:val="en-GB"/>
        </w:rPr>
        <w:t xml:space="preserve">is applies to all local energy production, but is particularly pertinent in the case of </w:t>
      </w:r>
      <w:r w:rsidRPr="00995C4A">
        <w:rPr>
          <w:lang w:val="en-GB"/>
        </w:rPr>
        <w:t>geothermal energ</w:t>
      </w:r>
      <w:r w:rsidRPr="00995C4A" w:rsidR="0005661E">
        <w:rPr>
          <w:lang w:val="en-GB"/>
        </w:rPr>
        <w:t>y;</w:t>
      </w:r>
    </w:p>
    <w:p w:rsidRPr="00995C4A" w:rsidR="00C44DF2" w:rsidRDefault="00C44DF2" w14:paraId="5024FC28" w14:textId="77777777">
      <w:pPr>
        <w:rPr>
          <w:lang w:val="en-GB"/>
        </w:rPr>
      </w:pPr>
    </w:p>
    <w:p w:rsidRPr="00995C4A" w:rsidR="00C44DF2" w:rsidP="007B0E1C" w:rsidRDefault="007C75D4" w14:paraId="35EA68CB" w14:textId="77777777">
      <w:pPr>
        <w:pStyle w:val="Heading1"/>
        <w:numPr>
          <w:ilvl w:val="0"/>
          <w:numId w:val="1"/>
        </w:numPr>
        <w:pBdr>
          <w:top w:val="nil"/>
          <w:left w:val="nil"/>
          <w:bottom w:val="nil"/>
          <w:right w:val="nil"/>
          <w:between w:val="nil"/>
        </w:pBdr>
        <w:ind w:left="567" w:hanging="567"/>
        <w:rPr>
          <w:lang w:val="en-GB"/>
        </w:rPr>
      </w:pPr>
      <w:r w:rsidRPr="00995C4A">
        <w:rPr>
          <w:lang w:val="en-GB"/>
        </w:rPr>
        <w:t xml:space="preserve">insists </w:t>
      </w:r>
      <w:r w:rsidRPr="00995C4A" w:rsidR="004006D9">
        <w:rPr>
          <w:lang w:val="en-GB"/>
        </w:rPr>
        <w:t xml:space="preserve">that best practices and research </w:t>
      </w:r>
      <w:r w:rsidRPr="00995C4A" w:rsidR="004D7C4C">
        <w:rPr>
          <w:lang w:val="en-GB"/>
        </w:rPr>
        <w:t>findings</w:t>
      </w:r>
      <w:r w:rsidRPr="00995C4A" w:rsidR="004006D9">
        <w:rPr>
          <w:lang w:val="en-GB"/>
        </w:rPr>
        <w:t xml:space="preserve"> </w:t>
      </w:r>
      <w:r w:rsidRPr="00995C4A">
        <w:rPr>
          <w:lang w:val="en-GB"/>
        </w:rPr>
        <w:t xml:space="preserve">at </w:t>
      </w:r>
      <w:r w:rsidRPr="00995C4A" w:rsidR="004006D9">
        <w:rPr>
          <w:lang w:val="en-GB"/>
        </w:rPr>
        <w:t>European, national and regional levels in the field of local</w:t>
      </w:r>
      <w:r w:rsidRPr="00995C4A" w:rsidR="001E7492">
        <w:rPr>
          <w:lang w:val="en-GB"/>
        </w:rPr>
        <w:t xml:space="preserve"> and</w:t>
      </w:r>
      <w:r w:rsidRPr="00995C4A" w:rsidR="004006D9">
        <w:rPr>
          <w:lang w:val="en-GB"/>
        </w:rPr>
        <w:t xml:space="preserve"> regional energy production </w:t>
      </w:r>
      <w:r w:rsidRPr="00995C4A">
        <w:rPr>
          <w:lang w:val="en-GB"/>
        </w:rPr>
        <w:t xml:space="preserve">need </w:t>
      </w:r>
      <w:r w:rsidRPr="00995C4A" w:rsidR="004006D9">
        <w:rPr>
          <w:lang w:val="en-GB"/>
        </w:rPr>
        <w:t xml:space="preserve">to be disseminated, stressing the social and economic </w:t>
      </w:r>
      <w:r w:rsidRPr="00995C4A" w:rsidR="009A15E3">
        <w:rPr>
          <w:lang w:val="en-GB"/>
        </w:rPr>
        <w:t xml:space="preserve">benefits </w:t>
      </w:r>
      <w:r w:rsidRPr="00995C4A" w:rsidR="004006D9">
        <w:rPr>
          <w:lang w:val="en-GB"/>
        </w:rPr>
        <w:t>of localised energy production</w:t>
      </w:r>
      <w:r w:rsidRPr="00995C4A" w:rsidR="009A15E3">
        <w:rPr>
          <w:lang w:val="en-GB"/>
        </w:rPr>
        <w:t>;</w:t>
      </w:r>
    </w:p>
    <w:p w:rsidRPr="00995C4A" w:rsidR="00C44DF2" w:rsidRDefault="00C44DF2" w14:paraId="7CC2FA8D" w14:textId="77777777">
      <w:pPr>
        <w:rPr>
          <w:lang w:val="en-GB"/>
        </w:rPr>
      </w:pPr>
    </w:p>
    <w:p w:rsidRPr="00995C4A" w:rsidR="00C44DF2" w:rsidP="007B0E1C" w:rsidRDefault="004006D9" w14:paraId="5F12E603" w14:textId="77777777">
      <w:pPr>
        <w:pStyle w:val="Heading1"/>
        <w:numPr>
          <w:ilvl w:val="0"/>
          <w:numId w:val="1"/>
        </w:numPr>
        <w:pBdr>
          <w:top w:val="nil"/>
          <w:left w:val="nil"/>
          <w:bottom w:val="nil"/>
          <w:right w:val="nil"/>
          <w:between w:val="nil"/>
        </w:pBdr>
        <w:ind w:left="567" w:hanging="567"/>
        <w:rPr>
          <w:lang w:val="en-GB"/>
        </w:rPr>
      </w:pPr>
      <w:r w:rsidRPr="00995C4A">
        <w:rPr>
          <w:lang w:val="en-GB"/>
        </w:rPr>
        <w:t>supports the use of this own</w:t>
      </w:r>
      <w:r w:rsidRPr="00995C4A" w:rsidR="007C75D4">
        <w:rPr>
          <w:lang w:val="en-GB"/>
        </w:rPr>
        <w:t>-</w:t>
      </w:r>
      <w:r w:rsidRPr="00995C4A">
        <w:rPr>
          <w:lang w:val="en-GB"/>
        </w:rPr>
        <w:t xml:space="preserve">initiative opinion </w:t>
      </w:r>
      <w:r w:rsidRPr="00995C4A" w:rsidR="00AD4AAA">
        <w:rPr>
          <w:lang w:val="en-GB"/>
        </w:rPr>
        <w:t xml:space="preserve">and the supporting technical analysis </w:t>
      </w:r>
      <w:r w:rsidRPr="00995C4A">
        <w:rPr>
          <w:lang w:val="en-GB"/>
        </w:rPr>
        <w:t>for the wider uptake</w:t>
      </w:r>
      <w:r w:rsidRPr="00995C4A" w:rsidR="00F11129">
        <w:rPr>
          <w:lang w:val="en-GB"/>
        </w:rPr>
        <w:t>,</w:t>
      </w:r>
      <w:r w:rsidRPr="00995C4A">
        <w:rPr>
          <w:lang w:val="en-GB"/>
        </w:rPr>
        <w:t xml:space="preserve"> exploitation and</w:t>
      </w:r>
      <w:r w:rsidRPr="00995C4A" w:rsidR="00F11129">
        <w:rPr>
          <w:lang w:val="en-GB"/>
        </w:rPr>
        <w:t xml:space="preserve"> </w:t>
      </w:r>
      <w:r w:rsidRPr="00995C4A">
        <w:rPr>
          <w:lang w:val="en-GB"/>
        </w:rPr>
        <w:t xml:space="preserve">use of geothermal energy </w:t>
      </w:r>
      <w:r w:rsidRPr="00995C4A" w:rsidR="004D7C4C">
        <w:rPr>
          <w:lang w:val="en-GB"/>
        </w:rPr>
        <w:t>by</w:t>
      </w:r>
      <w:r w:rsidRPr="00995C4A">
        <w:rPr>
          <w:lang w:val="en-GB"/>
        </w:rPr>
        <w:t xml:space="preserve"> LRAs</w:t>
      </w:r>
      <w:r w:rsidRPr="00995C4A" w:rsidR="004D7C4C">
        <w:rPr>
          <w:lang w:val="en-GB"/>
        </w:rPr>
        <w:t xml:space="preserve"> in the EU and the broader EU </w:t>
      </w:r>
      <w:r w:rsidRPr="00995C4A" w:rsidR="007C75D4">
        <w:rPr>
          <w:lang w:val="en-GB"/>
        </w:rPr>
        <w:t>n</w:t>
      </w:r>
      <w:r w:rsidRPr="00995C4A" w:rsidR="004D7C4C">
        <w:rPr>
          <w:lang w:val="en-GB"/>
        </w:rPr>
        <w:t>eighbourhood</w:t>
      </w:r>
      <w:r w:rsidRPr="00995C4A" w:rsidR="005B24B6">
        <w:rPr>
          <w:lang w:val="en-GB"/>
        </w:rPr>
        <w:t>;</w:t>
      </w:r>
    </w:p>
    <w:p w:rsidRPr="00995C4A" w:rsidR="00C44DF2" w:rsidRDefault="00C44DF2" w14:paraId="730EE56B" w14:textId="77777777">
      <w:pPr>
        <w:rPr>
          <w:lang w:val="en-GB"/>
        </w:rPr>
      </w:pPr>
    </w:p>
    <w:p w:rsidRPr="00995C4A" w:rsidR="007E21E1" w:rsidP="007B0E1C" w:rsidRDefault="007E21E1" w14:paraId="1D841C08" w14:textId="77777777">
      <w:pPr>
        <w:pStyle w:val="Heading1"/>
        <w:numPr>
          <w:ilvl w:val="0"/>
          <w:numId w:val="1"/>
        </w:numPr>
        <w:pBdr>
          <w:top w:val="nil"/>
          <w:left w:val="nil"/>
          <w:bottom w:val="nil"/>
          <w:right w:val="nil"/>
          <w:between w:val="nil"/>
        </w:pBdr>
        <w:ind w:left="567" w:hanging="567"/>
        <w:rPr>
          <w:lang w:val="en-GB"/>
        </w:rPr>
      </w:pPr>
      <w:r w:rsidRPr="00995C4A">
        <w:rPr>
          <w:lang w:val="en-GB"/>
        </w:rPr>
        <w:t>draws attention to the potential of geothermal energy as a key contributor to the journey towards climate neutrality. Despite its associated costs, geothermal energy is notable for its low emissions and the potential to consistently reuse the water generated in the process. To increase effectiveness, it is necessary to support the combined geothermal solutions, i.e. use of thermal water exploitation and heat pumps, and not to inject the spent geothermal fluids to the subsurface above a minimum water temperature threshold set;</w:t>
      </w:r>
    </w:p>
    <w:p w:rsidRPr="00995C4A" w:rsidR="007E21E1" w:rsidRDefault="007E21E1" w14:paraId="70341095" w14:textId="77777777">
      <w:pPr>
        <w:rPr>
          <w:lang w:val="en-GB"/>
        </w:rPr>
      </w:pPr>
    </w:p>
    <w:p w:rsidRPr="00995C4A" w:rsidR="00C44DF2" w:rsidP="007B0E1C" w:rsidRDefault="004006D9" w14:paraId="186D0E61" w14:textId="77777777">
      <w:pPr>
        <w:pStyle w:val="Heading1"/>
        <w:numPr>
          <w:ilvl w:val="0"/>
          <w:numId w:val="1"/>
        </w:numPr>
        <w:pBdr>
          <w:top w:val="nil"/>
          <w:left w:val="nil"/>
          <w:bottom w:val="nil"/>
          <w:right w:val="nil"/>
          <w:between w:val="nil"/>
        </w:pBdr>
        <w:ind w:left="567" w:hanging="567"/>
        <w:rPr>
          <w:lang w:val="en-GB"/>
        </w:rPr>
      </w:pPr>
      <w:r w:rsidRPr="00995C4A">
        <w:rPr>
          <w:lang w:val="en-GB"/>
        </w:rPr>
        <w:t xml:space="preserve">underlines that local energy matters. It has significant potential in terms of </w:t>
      </w:r>
      <w:r w:rsidRPr="00995C4A" w:rsidR="00372B0A">
        <w:rPr>
          <w:lang w:val="en-GB"/>
        </w:rPr>
        <w:t xml:space="preserve">enhancing </w:t>
      </w:r>
      <w:r w:rsidRPr="00995C4A">
        <w:rPr>
          <w:lang w:val="en-GB"/>
        </w:rPr>
        <w:t xml:space="preserve">energy security, </w:t>
      </w:r>
      <w:r w:rsidRPr="00995C4A" w:rsidR="0011244F">
        <w:rPr>
          <w:lang w:val="en-GB"/>
        </w:rPr>
        <w:t xml:space="preserve">increasing the share </w:t>
      </w:r>
      <w:r w:rsidRPr="00995C4A">
        <w:rPr>
          <w:lang w:val="en-GB"/>
        </w:rPr>
        <w:t xml:space="preserve">of renewable energy, </w:t>
      </w:r>
      <w:r w:rsidRPr="00995C4A" w:rsidR="00040C13">
        <w:rPr>
          <w:lang w:val="en-GB"/>
        </w:rPr>
        <w:t xml:space="preserve">while also </w:t>
      </w:r>
      <w:r w:rsidRPr="00995C4A">
        <w:rPr>
          <w:lang w:val="en-GB"/>
        </w:rPr>
        <w:t>offering affordable energy prices and resulting in</w:t>
      </w:r>
      <w:r w:rsidRPr="00995C4A" w:rsidR="00F11129">
        <w:rPr>
          <w:lang w:val="en-GB"/>
        </w:rPr>
        <w:t xml:space="preserve"> a</w:t>
      </w:r>
      <w:r w:rsidRPr="00995C4A">
        <w:rPr>
          <w:lang w:val="en-GB"/>
        </w:rPr>
        <w:t xml:space="preserve"> higher level </w:t>
      </w:r>
      <w:r w:rsidRPr="00995C4A" w:rsidR="00F11129">
        <w:rPr>
          <w:lang w:val="en-GB"/>
        </w:rPr>
        <w:t xml:space="preserve">of </w:t>
      </w:r>
      <w:r w:rsidRPr="00995C4A">
        <w:rPr>
          <w:lang w:val="en-GB"/>
        </w:rPr>
        <w:t>energy independenc</w:t>
      </w:r>
      <w:r w:rsidRPr="00995C4A" w:rsidR="00DA0A72">
        <w:rPr>
          <w:lang w:val="en-GB"/>
        </w:rPr>
        <w:t>e</w:t>
      </w:r>
      <w:r w:rsidRPr="00995C4A">
        <w:rPr>
          <w:lang w:val="en-GB"/>
        </w:rPr>
        <w:t xml:space="preserve"> for LRAs. In </w:t>
      </w:r>
      <w:r w:rsidRPr="00995C4A" w:rsidR="00D73B16">
        <w:rPr>
          <w:lang w:val="en-GB"/>
        </w:rPr>
        <w:t xml:space="preserve">this </w:t>
      </w:r>
      <w:r w:rsidRPr="00995C4A">
        <w:rPr>
          <w:lang w:val="en-GB"/>
        </w:rPr>
        <w:t>context</w:t>
      </w:r>
      <w:r w:rsidRPr="00995C4A" w:rsidR="00F11129">
        <w:rPr>
          <w:lang w:val="en-GB"/>
        </w:rPr>
        <w:t>, the CoR</w:t>
      </w:r>
      <w:r w:rsidRPr="00995C4A">
        <w:rPr>
          <w:lang w:val="en-GB"/>
        </w:rPr>
        <w:t xml:space="preserve"> highlights the untapped potential of local, clean geothermal energy.</w:t>
      </w:r>
    </w:p>
    <w:p w:rsidRPr="00995C4A" w:rsidR="00C44DF2" w:rsidRDefault="00C44DF2" w14:paraId="2ACD6898" w14:textId="77777777">
      <w:pPr>
        <w:rPr>
          <w:lang w:val="en-GB"/>
        </w:rPr>
      </w:pPr>
    </w:p>
    <w:p w:rsidRPr="00995C4A" w:rsidR="00C44DF2" w:rsidRDefault="004006D9" w14:paraId="25326264" w14:textId="77777777">
      <w:pPr>
        <w:keepNext/>
        <w:keepLines/>
        <w:rPr>
          <w:i/>
          <w:lang w:val="en-GB"/>
        </w:rPr>
      </w:pPr>
      <w:r w:rsidRPr="00995C4A">
        <w:rPr>
          <w:i/>
          <w:lang w:val="en-GB"/>
        </w:rPr>
        <w:t>Energy challenges for Europe and geothermal energy's answers</w:t>
      </w:r>
    </w:p>
    <w:p w:rsidRPr="00995C4A" w:rsidR="00C44DF2" w:rsidRDefault="00C44DF2" w14:paraId="18F561A2" w14:textId="77777777">
      <w:pPr>
        <w:keepNext/>
        <w:keepLines/>
        <w:rPr>
          <w:lang w:val="en-GB"/>
        </w:rPr>
      </w:pPr>
    </w:p>
    <w:p w:rsidRPr="00995C4A" w:rsidR="00C44DF2" w:rsidP="007B0E1C" w:rsidRDefault="00DC6464" w14:paraId="18AF4C63" w14:textId="77777777">
      <w:pPr>
        <w:pStyle w:val="Heading1"/>
        <w:numPr>
          <w:ilvl w:val="0"/>
          <w:numId w:val="1"/>
        </w:numPr>
        <w:pBdr>
          <w:top w:val="nil"/>
          <w:left w:val="nil"/>
          <w:bottom w:val="nil"/>
          <w:right w:val="nil"/>
          <w:between w:val="nil"/>
        </w:pBdr>
        <w:ind w:left="567" w:hanging="567"/>
        <w:rPr>
          <w:lang w:val="en-GB"/>
        </w:rPr>
      </w:pPr>
      <w:r w:rsidRPr="00995C4A">
        <w:rPr>
          <w:lang w:val="en-GB"/>
        </w:rPr>
        <w:t>emp</w:t>
      </w:r>
      <w:r w:rsidRPr="00995C4A" w:rsidR="00B210E1">
        <w:rPr>
          <w:lang w:val="en-GB"/>
        </w:rPr>
        <w:t xml:space="preserve">hasises that </w:t>
      </w:r>
      <w:r w:rsidRPr="00995C4A" w:rsidR="00564D47">
        <w:rPr>
          <w:lang w:val="en-GB"/>
        </w:rPr>
        <w:t>g</w:t>
      </w:r>
      <w:r w:rsidRPr="00995C4A" w:rsidR="004006D9">
        <w:rPr>
          <w:lang w:val="en-GB"/>
        </w:rPr>
        <w:t>eothermal energy production at local level supported by LRAs contributes to solving Europe</w:t>
      </w:r>
      <w:r w:rsidRPr="00995C4A" w:rsidR="00DA0A72">
        <w:rPr>
          <w:lang w:val="en-GB"/>
        </w:rPr>
        <w:t>'</w:t>
      </w:r>
      <w:r w:rsidRPr="00995C4A" w:rsidR="004006D9">
        <w:rPr>
          <w:lang w:val="en-GB"/>
        </w:rPr>
        <w:t xml:space="preserve">s energy challenges </w:t>
      </w:r>
      <w:r w:rsidRPr="00995C4A" w:rsidR="00F11129">
        <w:rPr>
          <w:lang w:val="en-GB"/>
        </w:rPr>
        <w:t>in terms of</w:t>
      </w:r>
      <w:r w:rsidRPr="00995C4A" w:rsidR="004006D9">
        <w:rPr>
          <w:lang w:val="en-GB"/>
        </w:rPr>
        <w:t xml:space="preserve"> resilience, energy security, decarbonisation and flexibility via generic energy storage;</w:t>
      </w:r>
    </w:p>
    <w:p w:rsidRPr="00995C4A" w:rsidR="00C44DF2" w:rsidRDefault="00C44DF2" w14:paraId="18121EDA" w14:textId="77777777">
      <w:pPr>
        <w:outlineLvl w:val="0"/>
        <w:rPr>
          <w:lang w:val="en-GB"/>
        </w:rPr>
      </w:pPr>
    </w:p>
    <w:p w:rsidRPr="00995C4A" w:rsidR="00C44DF2" w:rsidP="007B0E1C" w:rsidRDefault="000D53B4" w14:paraId="0A363D1B" w14:textId="77777777">
      <w:pPr>
        <w:pStyle w:val="Heading1"/>
        <w:numPr>
          <w:ilvl w:val="0"/>
          <w:numId w:val="1"/>
        </w:numPr>
        <w:pBdr>
          <w:top w:val="nil"/>
          <w:left w:val="nil"/>
          <w:bottom w:val="nil"/>
          <w:right w:val="nil"/>
          <w:between w:val="nil"/>
        </w:pBdr>
        <w:ind w:left="567" w:hanging="567"/>
        <w:rPr>
          <w:lang w:val="en-GB"/>
        </w:rPr>
      </w:pPr>
      <w:r w:rsidRPr="00995C4A">
        <w:rPr>
          <w:lang w:val="en-GB"/>
        </w:rPr>
        <w:t xml:space="preserve">supports the call of </w:t>
      </w:r>
      <w:r w:rsidRPr="00995C4A" w:rsidR="004006D9">
        <w:rPr>
          <w:lang w:val="en-GB"/>
        </w:rPr>
        <w:t xml:space="preserve">LRAs </w:t>
      </w:r>
      <w:r w:rsidRPr="00995C4A" w:rsidR="00DA0A72">
        <w:rPr>
          <w:lang w:val="en-GB"/>
        </w:rPr>
        <w:t>to further scale up</w:t>
      </w:r>
      <w:r w:rsidRPr="00995C4A" w:rsidR="004006D9">
        <w:rPr>
          <w:lang w:val="en-GB"/>
        </w:rPr>
        <w:t xml:space="preserve"> geothermal energy in local energy </w:t>
      </w:r>
      <w:r w:rsidRPr="00995C4A" w:rsidR="00551AD2">
        <w:rPr>
          <w:lang w:val="en-GB"/>
        </w:rPr>
        <w:t>production</w:t>
      </w:r>
      <w:r w:rsidRPr="00995C4A" w:rsidR="004006D9">
        <w:rPr>
          <w:lang w:val="en-GB"/>
        </w:rPr>
        <w:t>.</w:t>
      </w:r>
      <w:r w:rsidRPr="00995C4A" w:rsidR="004C26FC">
        <w:rPr>
          <w:lang w:val="en-GB"/>
        </w:rPr>
        <w:t xml:space="preserve"> This would </w:t>
      </w:r>
      <w:r w:rsidRPr="00995C4A" w:rsidR="00F4359A">
        <w:rPr>
          <w:lang w:val="en-GB"/>
        </w:rPr>
        <w:t>use local potential</w:t>
      </w:r>
      <w:r w:rsidRPr="00995C4A" w:rsidR="00DA0A72">
        <w:rPr>
          <w:lang w:val="en-GB"/>
        </w:rPr>
        <w:t xml:space="preserve"> and</w:t>
      </w:r>
      <w:r w:rsidRPr="00995C4A" w:rsidR="00F4359A">
        <w:rPr>
          <w:lang w:val="en-GB"/>
        </w:rPr>
        <w:t xml:space="preserve"> local competitive advantages</w:t>
      </w:r>
      <w:r w:rsidRPr="00995C4A" w:rsidR="002101BF">
        <w:rPr>
          <w:lang w:val="en-GB"/>
        </w:rPr>
        <w:t xml:space="preserve">, </w:t>
      </w:r>
      <w:r w:rsidRPr="00995C4A" w:rsidR="00F4359A">
        <w:rPr>
          <w:lang w:val="en-GB"/>
        </w:rPr>
        <w:t>support local economies</w:t>
      </w:r>
      <w:r w:rsidRPr="00995C4A" w:rsidR="00DA0A72">
        <w:rPr>
          <w:lang w:val="en-GB"/>
        </w:rPr>
        <w:t xml:space="preserve"> and</w:t>
      </w:r>
      <w:r w:rsidRPr="00995C4A" w:rsidR="00F4359A">
        <w:rPr>
          <w:lang w:val="en-GB"/>
        </w:rPr>
        <w:t xml:space="preserve"> local jobs</w:t>
      </w:r>
      <w:r w:rsidRPr="00995C4A" w:rsidR="00DA0A72">
        <w:rPr>
          <w:lang w:val="en-GB"/>
        </w:rPr>
        <w:t xml:space="preserve"> and</w:t>
      </w:r>
      <w:r w:rsidRPr="00995C4A" w:rsidR="002101BF">
        <w:rPr>
          <w:lang w:val="en-GB"/>
        </w:rPr>
        <w:t xml:space="preserve"> </w:t>
      </w:r>
      <w:r w:rsidRPr="00995C4A" w:rsidR="00F4359A">
        <w:rPr>
          <w:lang w:val="en-GB"/>
        </w:rPr>
        <w:t>develop local value chains matching local demand with local energy supply</w:t>
      </w:r>
      <w:r w:rsidRPr="00995C4A" w:rsidR="007333CB">
        <w:rPr>
          <w:lang w:val="en-GB"/>
        </w:rPr>
        <w:t xml:space="preserve">. </w:t>
      </w:r>
      <w:r w:rsidRPr="00995C4A" w:rsidR="008A3CA3">
        <w:rPr>
          <w:lang w:val="en-GB"/>
        </w:rPr>
        <w:t>In this regard, there is</w:t>
      </w:r>
      <w:r w:rsidRPr="00995C4A" w:rsidR="004006D9">
        <w:rPr>
          <w:lang w:val="en-GB"/>
        </w:rPr>
        <w:t xml:space="preserve"> </w:t>
      </w:r>
      <w:r w:rsidRPr="00995C4A" w:rsidR="008A3CA3">
        <w:rPr>
          <w:lang w:val="en-GB"/>
        </w:rPr>
        <w:t xml:space="preserve">a </w:t>
      </w:r>
      <w:r w:rsidRPr="00995C4A" w:rsidR="004006D9">
        <w:rPr>
          <w:lang w:val="en-GB"/>
        </w:rPr>
        <w:t xml:space="preserve">need </w:t>
      </w:r>
      <w:r w:rsidRPr="00995C4A" w:rsidR="008A3CA3">
        <w:rPr>
          <w:lang w:val="en-GB"/>
        </w:rPr>
        <w:t>to develop</w:t>
      </w:r>
      <w:r w:rsidRPr="00995C4A" w:rsidR="004006D9">
        <w:rPr>
          <w:lang w:val="en-GB"/>
        </w:rPr>
        <w:t xml:space="preserve"> relevant business models</w:t>
      </w:r>
      <w:r w:rsidRPr="00995C4A" w:rsidR="004D7C4C">
        <w:rPr>
          <w:lang w:val="en-GB"/>
        </w:rPr>
        <w:t xml:space="preserve">, including </w:t>
      </w:r>
      <w:r w:rsidRPr="00995C4A" w:rsidR="00CE61B0">
        <w:rPr>
          <w:lang w:val="en-GB"/>
        </w:rPr>
        <w:t>municipally-led energy communities, district heating and cooling companies</w:t>
      </w:r>
      <w:r w:rsidRPr="00995C4A" w:rsidR="00467174">
        <w:rPr>
          <w:lang w:val="en-GB"/>
        </w:rPr>
        <w:t xml:space="preserve">, </w:t>
      </w:r>
      <w:r w:rsidRPr="00995C4A" w:rsidR="004006D9">
        <w:rPr>
          <w:lang w:val="en-GB"/>
        </w:rPr>
        <w:t xml:space="preserve">partnerships with local energy </w:t>
      </w:r>
      <w:r w:rsidRPr="00995C4A" w:rsidR="00923B39">
        <w:rPr>
          <w:lang w:val="en-GB"/>
        </w:rPr>
        <w:t>service companies</w:t>
      </w:r>
      <w:r w:rsidRPr="00995C4A" w:rsidR="004006D9">
        <w:rPr>
          <w:lang w:val="en-GB"/>
        </w:rPr>
        <w:t>, end</w:t>
      </w:r>
      <w:r w:rsidRPr="00995C4A" w:rsidR="00DA0A72">
        <w:rPr>
          <w:lang w:val="en-GB"/>
        </w:rPr>
        <w:t xml:space="preserve"> </w:t>
      </w:r>
      <w:r w:rsidRPr="00995C4A" w:rsidR="004006D9">
        <w:rPr>
          <w:lang w:val="en-GB"/>
        </w:rPr>
        <w:t>users, financi</w:t>
      </w:r>
      <w:r w:rsidRPr="00995C4A" w:rsidR="008A3CA3">
        <w:rPr>
          <w:lang w:val="en-GB"/>
        </w:rPr>
        <w:t>al</w:t>
      </w:r>
      <w:r w:rsidRPr="00995C4A" w:rsidR="004006D9">
        <w:rPr>
          <w:lang w:val="en-GB"/>
        </w:rPr>
        <w:t xml:space="preserve"> institutions and </w:t>
      </w:r>
      <w:r w:rsidRPr="00995C4A" w:rsidR="008A3CA3">
        <w:rPr>
          <w:lang w:val="en-GB"/>
        </w:rPr>
        <w:t>research centres</w:t>
      </w:r>
      <w:r w:rsidRPr="00995C4A" w:rsidR="004006D9">
        <w:rPr>
          <w:lang w:val="en-GB"/>
        </w:rPr>
        <w:t>;</w:t>
      </w:r>
    </w:p>
    <w:p w:rsidRPr="00995C4A" w:rsidR="00C44DF2" w:rsidRDefault="00C44DF2" w14:paraId="5DD2F937" w14:textId="77777777">
      <w:pPr>
        <w:rPr>
          <w:lang w:val="en-GB"/>
        </w:rPr>
      </w:pPr>
    </w:p>
    <w:p w:rsidRPr="00995C4A" w:rsidR="00C44DF2" w:rsidP="007B0E1C" w:rsidRDefault="000D53B4" w14:paraId="01AFACF8" w14:textId="77777777">
      <w:pPr>
        <w:pStyle w:val="Heading1"/>
        <w:numPr>
          <w:ilvl w:val="0"/>
          <w:numId w:val="1"/>
        </w:numPr>
        <w:pBdr>
          <w:top w:val="nil"/>
          <w:left w:val="nil"/>
          <w:bottom w:val="nil"/>
          <w:right w:val="nil"/>
          <w:between w:val="nil"/>
        </w:pBdr>
        <w:ind w:left="567" w:hanging="567"/>
        <w:rPr>
          <w:lang w:val="en-GB"/>
        </w:rPr>
      </w:pPr>
      <w:r w:rsidRPr="00995C4A">
        <w:rPr>
          <w:lang w:val="en-GB"/>
        </w:rPr>
        <w:t xml:space="preserve">notes </w:t>
      </w:r>
      <w:r w:rsidRPr="00995C4A" w:rsidR="008A3CA3">
        <w:rPr>
          <w:lang w:val="en-GB"/>
        </w:rPr>
        <w:t>the</w:t>
      </w:r>
      <w:r w:rsidRPr="00995C4A" w:rsidR="004006D9">
        <w:rPr>
          <w:lang w:val="en-GB"/>
        </w:rPr>
        <w:t xml:space="preserve"> </w:t>
      </w:r>
      <w:r w:rsidRPr="00995C4A" w:rsidR="004D7C4C">
        <w:rPr>
          <w:lang w:val="en-GB"/>
        </w:rPr>
        <w:t xml:space="preserve">urgent </w:t>
      </w:r>
      <w:r w:rsidRPr="00995C4A" w:rsidR="004006D9">
        <w:rPr>
          <w:lang w:val="en-GB"/>
        </w:rPr>
        <w:t xml:space="preserve">need </w:t>
      </w:r>
      <w:r w:rsidRPr="00995C4A" w:rsidR="004D7C4C">
        <w:rPr>
          <w:lang w:val="en-GB"/>
        </w:rPr>
        <w:t xml:space="preserve">in the EU and globally </w:t>
      </w:r>
      <w:r w:rsidRPr="00995C4A" w:rsidR="004006D9">
        <w:rPr>
          <w:lang w:val="en-GB"/>
        </w:rPr>
        <w:t xml:space="preserve">to decrease energy prices, develop innovative technologies and strengthen market uptake of </w:t>
      </w:r>
      <w:r w:rsidRPr="00995C4A" w:rsidR="007E21E1">
        <w:rPr>
          <w:lang w:val="en-GB"/>
        </w:rPr>
        <w:t xml:space="preserve">renewable </w:t>
      </w:r>
      <w:r w:rsidRPr="00995C4A" w:rsidR="004006D9">
        <w:rPr>
          <w:lang w:val="en-GB"/>
        </w:rPr>
        <w:t>energy solutions</w:t>
      </w:r>
      <w:r w:rsidRPr="00995C4A">
        <w:rPr>
          <w:lang w:val="en-GB"/>
        </w:rPr>
        <w:t>. In this regard,</w:t>
      </w:r>
      <w:r w:rsidRPr="00995C4A" w:rsidR="004006D9">
        <w:rPr>
          <w:lang w:val="en-GB"/>
        </w:rPr>
        <w:t xml:space="preserve"> geothermal energy in the heating</w:t>
      </w:r>
      <w:r w:rsidRPr="00995C4A" w:rsidR="00875032">
        <w:rPr>
          <w:lang w:val="en-GB"/>
        </w:rPr>
        <w:t>-</w:t>
      </w:r>
      <w:r w:rsidRPr="00995C4A" w:rsidR="004006D9">
        <w:rPr>
          <w:lang w:val="en-GB"/>
        </w:rPr>
        <w:t xml:space="preserve">cooling </w:t>
      </w:r>
      <w:r w:rsidRPr="00995C4A" w:rsidR="00875032">
        <w:rPr>
          <w:lang w:val="en-GB"/>
        </w:rPr>
        <w:t>and electric</w:t>
      </w:r>
      <w:r w:rsidRPr="00995C4A" w:rsidR="006E57A3">
        <w:rPr>
          <w:lang w:val="en-GB"/>
        </w:rPr>
        <w:t xml:space="preserve">ity </w:t>
      </w:r>
      <w:r w:rsidRPr="00995C4A" w:rsidR="004006D9">
        <w:rPr>
          <w:lang w:val="en-GB"/>
        </w:rPr>
        <w:t>sector</w:t>
      </w:r>
      <w:r w:rsidRPr="00995C4A" w:rsidR="006E57A3">
        <w:rPr>
          <w:lang w:val="en-GB"/>
        </w:rPr>
        <w:t>s</w:t>
      </w:r>
      <w:r w:rsidRPr="00995C4A" w:rsidR="004006D9">
        <w:rPr>
          <w:lang w:val="en-GB"/>
        </w:rPr>
        <w:t xml:space="preserve"> is identified as a technolog</w:t>
      </w:r>
      <w:r w:rsidRPr="00995C4A" w:rsidR="004E3B2F">
        <w:rPr>
          <w:lang w:val="en-GB"/>
        </w:rPr>
        <w:t>icall</w:t>
      </w:r>
      <w:r w:rsidRPr="00995C4A" w:rsidR="004006D9">
        <w:rPr>
          <w:lang w:val="en-GB"/>
        </w:rPr>
        <w:t>y</w:t>
      </w:r>
      <w:r w:rsidRPr="00995C4A" w:rsidR="004E3B2F">
        <w:rPr>
          <w:lang w:val="en-GB"/>
        </w:rPr>
        <w:t xml:space="preserve"> </w:t>
      </w:r>
      <w:r w:rsidRPr="00995C4A" w:rsidR="004006D9">
        <w:rPr>
          <w:lang w:val="en-GB"/>
        </w:rPr>
        <w:t>mature, locally available, exploitable and controllable renewable energy source;</w:t>
      </w:r>
    </w:p>
    <w:p w:rsidRPr="00995C4A" w:rsidR="00C44DF2" w:rsidRDefault="00C44DF2" w14:paraId="4B8B4E7B" w14:textId="77777777">
      <w:pPr>
        <w:rPr>
          <w:lang w:val="en-GB"/>
        </w:rPr>
      </w:pPr>
    </w:p>
    <w:p w:rsidRPr="00995C4A" w:rsidR="00C44DF2" w:rsidP="007B0E1C" w:rsidRDefault="00A9202B" w14:paraId="3A4E9ADB" w14:textId="77777777">
      <w:pPr>
        <w:pStyle w:val="Heading1"/>
        <w:numPr>
          <w:ilvl w:val="0"/>
          <w:numId w:val="1"/>
        </w:numPr>
        <w:pBdr>
          <w:top w:val="nil"/>
          <w:left w:val="nil"/>
          <w:bottom w:val="nil"/>
          <w:right w:val="nil"/>
          <w:between w:val="nil"/>
        </w:pBdr>
        <w:ind w:left="567" w:hanging="567"/>
        <w:rPr>
          <w:lang w:val="en-GB"/>
        </w:rPr>
      </w:pPr>
      <w:r w:rsidRPr="00995C4A">
        <w:rPr>
          <w:lang w:val="en-GB"/>
        </w:rPr>
        <w:t xml:space="preserve">highlights that </w:t>
      </w:r>
      <w:r w:rsidRPr="00995C4A" w:rsidR="004D7C4C">
        <w:rPr>
          <w:lang w:val="en-GB"/>
        </w:rPr>
        <w:t>s</w:t>
      </w:r>
      <w:r w:rsidRPr="00995C4A" w:rsidR="004006D9">
        <w:rPr>
          <w:lang w:val="en-GB"/>
        </w:rPr>
        <w:t>everal LRAs testify that geothermal energy has significant untapped potential for European regions and municipalities;</w:t>
      </w:r>
    </w:p>
    <w:p w:rsidRPr="00995C4A" w:rsidR="00C44DF2" w:rsidRDefault="00C44DF2" w14:paraId="749789B0" w14:textId="77777777">
      <w:pPr>
        <w:rPr>
          <w:lang w:val="en-GB"/>
        </w:rPr>
      </w:pPr>
    </w:p>
    <w:p w:rsidRPr="00995C4A" w:rsidR="00C44DF2" w:rsidP="007B0E1C" w:rsidRDefault="00A9202B" w14:paraId="748A25BD" w14:textId="77777777">
      <w:pPr>
        <w:pStyle w:val="Heading1"/>
        <w:numPr>
          <w:ilvl w:val="0"/>
          <w:numId w:val="1"/>
        </w:numPr>
        <w:pBdr>
          <w:top w:val="nil"/>
          <w:left w:val="nil"/>
          <w:bottom w:val="nil"/>
          <w:right w:val="nil"/>
          <w:between w:val="nil"/>
        </w:pBdr>
        <w:ind w:left="567" w:hanging="567"/>
        <w:rPr>
          <w:lang w:val="en-GB"/>
        </w:rPr>
      </w:pPr>
      <w:r w:rsidRPr="00995C4A">
        <w:rPr>
          <w:lang w:val="en-GB"/>
        </w:rPr>
        <w:t>emphasi</w:t>
      </w:r>
      <w:r w:rsidRPr="00995C4A" w:rsidR="002403ED">
        <w:rPr>
          <w:lang w:val="en-GB"/>
        </w:rPr>
        <w:t>s</w:t>
      </w:r>
      <w:r w:rsidRPr="00995C4A">
        <w:rPr>
          <w:lang w:val="en-GB"/>
        </w:rPr>
        <w:t xml:space="preserve">es that </w:t>
      </w:r>
      <w:r w:rsidRPr="00995C4A" w:rsidR="004D7C4C">
        <w:rPr>
          <w:lang w:val="en-GB"/>
        </w:rPr>
        <w:t>l</w:t>
      </w:r>
      <w:r w:rsidRPr="00995C4A" w:rsidR="004006D9">
        <w:rPr>
          <w:lang w:val="en-GB"/>
        </w:rPr>
        <w:t xml:space="preserve">ocal geothermal energy production could be further developed, </w:t>
      </w:r>
      <w:r w:rsidRPr="00995C4A" w:rsidR="00FF013C">
        <w:rPr>
          <w:lang w:val="en-GB"/>
        </w:rPr>
        <w:t>and</w:t>
      </w:r>
      <w:r w:rsidRPr="00995C4A" w:rsidR="004E3B2F">
        <w:rPr>
          <w:lang w:val="en-GB"/>
        </w:rPr>
        <w:t xml:space="preserve"> scaled up</w:t>
      </w:r>
      <w:r w:rsidRPr="00995C4A" w:rsidR="004006D9">
        <w:rPr>
          <w:lang w:val="en-GB"/>
        </w:rPr>
        <w:t xml:space="preserve"> where it already exists, through the provision of suitable </w:t>
      </w:r>
      <w:r w:rsidRPr="00995C4A" w:rsidR="00F92FC5">
        <w:rPr>
          <w:lang w:val="en-GB"/>
        </w:rPr>
        <w:t xml:space="preserve">public </w:t>
      </w:r>
      <w:r w:rsidRPr="00995C4A" w:rsidR="004006D9">
        <w:rPr>
          <w:lang w:val="en-GB"/>
        </w:rPr>
        <w:t>guarantees and financial credit lines for geothermal heating</w:t>
      </w:r>
      <w:r w:rsidRPr="00995C4A" w:rsidR="001E7492">
        <w:rPr>
          <w:lang w:val="en-GB"/>
        </w:rPr>
        <w:t xml:space="preserve"> and </w:t>
      </w:r>
      <w:r w:rsidRPr="00995C4A" w:rsidR="004006D9">
        <w:rPr>
          <w:lang w:val="en-GB"/>
        </w:rPr>
        <w:t>cooling</w:t>
      </w:r>
      <w:r w:rsidRPr="00995C4A" w:rsidR="00F61BD0">
        <w:rPr>
          <w:lang w:val="en-GB"/>
        </w:rPr>
        <w:t>, and electricity</w:t>
      </w:r>
      <w:r w:rsidRPr="00995C4A" w:rsidR="004006D9">
        <w:rPr>
          <w:lang w:val="en-GB"/>
        </w:rPr>
        <w:t xml:space="preserve"> infrastructure</w:t>
      </w:r>
      <w:r w:rsidRPr="00995C4A" w:rsidR="00086BCF">
        <w:rPr>
          <w:lang w:val="en-GB"/>
        </w:rPr>
        <w:t xml:space="preserve"> development</w:t>
      </w:r>
      <w:r w:rsidRPr="00995C4A" w:rsidR="004006D9">
        <w:rPr>
          <w:lang w:val="en-GB"/>
        </w:rPr>
        <w:t>;</w:t>
      </w:r>
    </w:p>
    <w:p w:rsidRPr="00995C4A" w:rsidR="00C44DF2" w:rsidRDefault="00C44DF2" w14:paraId="72D6A6CA" w14:textId="77777777">
      <w:pPr>
        <w:tabs>
          <w:tab w:val="left" w:pos="5544"/>
        </w:tabs>
        <w:rPr>
          <w:lang w:val="en-GB"/>
        </w:rPr>
      </w:pPr>
    </w:p>
    <w:p w:rsidRPr="00995C4A" w:rsidR="00C44DF2" w:rsidP="007B0E1C" w:rsidRDefault="00A9202B" w14:paraId="2FC97936" w14:textId="77777777">
      <w:pPr>
        <w:pStyle w:val="Heading1"/>
        <w:numPr>
          <w:ilvl w:val="0"/>
          <w:numId w:val="1"/>
        </w:numPr>
        <w:pBdr>
          <w:top w:val="nil"/>
          <w:left w:val="nil"/>
          <w:bottom w:val="nil"/>
          <w:right w:val="nil"/>
          <w:between w:val="nil"/>
        </w:pBdr>
        <w:ind w:left="567" w:hanging="567"/>
        <w:rPr>
          <w:lang w:val="en-GB"/>
        </w:rPr>
      </w:pPr>
      <w:r w:rsidRPr="00995C4A">
        <w:rPr>
          <w:lang w:val="en-GB"/>
        </w:rPr>
        <w:t xml:space="preserve">refers to the </w:t>
      </w:r>
      <w:r w:rsidRPr="00995C4A" w:rsidR="004006D9">
        <w:rPr>
          <w:lang w:val="en-GB"/>
        </w:rPr>
        <w:t>current geopolitical situation</w:t>
      </w:r>
      <w:r w:rsidRPr="00995C4A">
        <w:rPr>
          <w:lang w:val="en-GB"/>
        </w:rPr>
        <w:t>, which</w:t>
      </w:r>
      <w:r w:rsidRPr="00995C4A" w:rsidR="004006D9">
        <w:rPr>
          <w:lang w:val="en-GB"/>
        </w:rPr>
        <w:t xml:space="preserve"> continues to drive up the prices of fossil fuels and at the same time places fossil fuel infrastructure under threat of attack (sabotage)</w:t>
      </w:r>
      <w:r w:rsidRPr="00995C4A" w:rsidR="007E21E1">
        <w:rPr>
          <w:lang w:val="en-GB"/>
        </w:rPr>
        <w:t>, and the need to transition away from fossil fuels to fulfil the goals set by the European Climate Law and worldwide pledges towards achieving climate neutrality</w:t>
      </w:r>
      <w:r w:rsidRPr="00995C4A" w:rsidR="00AD29D2">
        <w:rPr>
          <w:lang w:val="en-GB"/>
        </w:rPr>
        <w:t>.</w:t>
      </w:r>
      <w:r w:rsidRPr="00995C4A" w:rsidR="004006D9">
        <w:rPr>
          <w:lang w:val="en-GB"/>
        </w:rPr>
        <w:t xml:space="preserve"> </w:t>
      </w:r>
      <w:r w:rsidRPr="00995C4A" w:rsidR="00AD29D2">
        <w:rPr>
          <w:lang w:val="en-GB"/>
        </w:rPr>
        <w:t>N</w:t>
      </w:r>
      <w:r w:rsidRPr="00995C4A" w:rsidR="004006D9">
        <w:rPr>
          <w:lang w:val="en-GB"/>
        </w:rPr>
        <w:t>ew market opportunities in the geothermal energy</w:t>
      </w:r>
      <w:r w:rsidRPr="00995C4A" w:rsidR="002E1687">
        <w:rPr>
          <w:lang w:val="en-GB"/>
        </w:rPr>
        <w:t>-</w:t>
      </w:r>
      <w:r w:rsidRPr="00995C4A" w:rsidR="004006D9">
        <w:rPr>
          <w:lang w:val="en-GB"/>
        </w:rPr>
        <w:t>based heating</w:t>
      </w:r>
      <w:r w:rsidRPr="00995C4A" w:rsidR="00293719">
        <w:rPr>
          <w:lang w:val="en-GB"/>
        </w:rPr>
        <w:t xml:space="preserve"> and </w:t>
      </w:r>
      <w:r w:rsidRPr="00995C4A" w:rsidR="004006D9">
        <w:rPr>
          <w:lang w:val="en-GB"/>
        </w:rPr>
        <w:t xml:space="preserve">cooling </w:t>
      </w:r>
      <w:r w:rsidRPr="00995C4A" w:rsidR="007067D4">
        <w:rPr>
          <w:lang w:val="en-GB"/>
        </w:rPr>
        <w:t xml:space="preserve">and electricity </w:t>
      </w:r>
      <w:r w:rsidRPr="00995C4A" w:rsidR="004006D9">
        <w:rPr>
          <w:lang w:val="en-GB"/>
        </w:rPr>
        <w:t>sector need to be explored at different LRA levels</w:t>
      </w:r>
      <w:r w:rsidRPr="00995C4A" w:rsidR="00564D47">
        <w:rPr>
          <w:lang w:val="en-GB"/>
        </w:rPr>
        <w:t>.</w:t>
      </w:r>
    </w:p>
    <w:p w:rsidRPr="00995C4A" w:rsidR="0016264F" w:rsidRDefault="0016264F" w14:paraId="5F3BE0C3" w14:textId="77777777">
      <w:pPr>
        <w:rPr>
          <w:lang w:val="en-GB"/>
        </w:rPr>
      </w:pPr>
    </w:p>
    <w:p w:rsidRPr="00995C4A" w:rsidR="00C44DF2" w:rsidRDefault="004006D9" w14:paraId="172A7202" w14:textId="77777777">
      <w:pPr>
        <w:keepNext/>
        <w:keepLines/>
        <w:outlineLvl w:val="0"/>
        <w:rPr>
          <w:i/>
          <w:lang w:val="en-GB"/>
        </w:rPr>
      </w:pPr>
      <w:r w:rsidRPr="00995C4A">
        <w:rPr>
          <w:i/>
          <w:lang w:val="en-GB"/>
        </w:rPr>
        <w:t>Local and regional dimension of geothermal energy</w:t>
      </w:r>
    </w:p>
    <w:p w:rsidRPr="00995C4A" w:rsidR="00C44DF2" w:rsidRDefault="00C44DF2" w14:paraId="5264700C" w14:textId="77777777">
      <w:pPr>
        <w:keepNext/>
        <w:keepLines/>
        <w:rPr>
          <w:lang w:val="en-GB"/>
        </w:rPr>
      </w:pPr>
    </w:p>
    <w:p w:rsidRPr="00995C4A" w:rsidR="008839F0" w:rsidP="007B0E1C" w:rsidRDefault="00A9202B" w14:paraId="722B5479" w14:textId="77777777">
      <w:pPr>
        <w:pStyle w:val="Heading1"/>
        <w:numPr>
          <w:ilvl w:val="0"/>
          <w:numId w:val="1"/>
        </w:numPr>
        <w:pBdr>
          <w:top w:val="nil"/>
          <w:left w:val="nil"/>
          <w:bottom w:val="nil"/>
          <w:right w:val="nil"/>
          <w:between w:val="nil"/>
        </w:pBdr>
        <w:ind w:left="567" w:hanging="567"/>
        <w:rPr>
          <w:lang w:val="en-GB"/>
        </w:rPr>
      </w:pPr>
      <w:r w:rsidRPr="00995C4A">
        <w:rPr>
          <w:lang w:val="en-GB"/>
        </w:rPr>
        <w:t>acknowledges the</w:t>
      </w:r>
      <w:r w:rsidRPr="00995C4A" w:rsidR="006E6B63">
        <w:rPr>
          <w:lang w:val="en-GB"/>
        </w:rPr>
        <w:t xml:space="preserve"> </w:t>
      </w:r>
      <w:r w:rsidRPr="00995C4A" w:rsidR="00990973">
        <w:rPr>
          <w:lang w:val="en-GB"/>
        </w:rPr>
        <w:t xml:space="preserve">strong </w:t>
      </w:r>
      <w:r w:rsidRPr="00995C4A" w:rsidR="006E6B63">
        <w:rPr>
          <w:lang w:val="en-GB"/>
        </w:rPr>
        <w:t>local</w:t>
      </w:r>
      <w:r w:rsidRPr="00995C4A">
        <w:rPr>
          <w:lang w:val="en-GB"/>
        </w:rPr>
        <w:t xml:space="preserve"> and </w:t>
      </w:r>
      <w:r w:rsidRPr="00995C4A" w:rsidR="0013156C">
        <w:rPr>
          <w:lang w:val="en-GB"/>
        </w:rPr>
        <w:t>regional</w:t>
      </w:r>
      <w:r w:rsidRPr="00995C4A" w:rsidR="008C3F3F">
        <w:rPr>
          <w:lang w:val="en-GB"/>
        </w:rPr>
        <w:t xml:space="preserve"> relevance</w:t>
      </w:r>
      <w:r w:rsidRPr="00995C4A">
        <w:rPr>
          <w:lang w:val="en-GB"/>
        </w:rPr>
        <w:t xml:space="preserve"> of</w:t>
      </w:r>
      <w:r w:rsidRPr="00995C4A" w:rsidR="008C3F3F">
        <w:rPr>
          <w:lang w:val="en-GB"/>
        </w:rPr>
        <w:t xml:space="preserve"> g</w:t>
      </w:r>
      <w:r w:rsidRPr="00995C4A" w:rsidR="00E4779C">
        <w:rPr>
          <w:lang w:val="en-GB"/>
        </w:rPr>
        <w:t>eothermal energy</w:t>
      </w:r>
      <w:r w:rsidRPr="00995C4A">
        <w:rPr>
          <w:lang w:val="en-GB"/>
        </w:rPr>
        <w:t>, which</w:t>
      </w:r>
      <w:r w:rsidRPr="00995C4A" w:rsidR="00E4779C">
        <w:rPr>
          <w:lang w:val="en-GB"/>
        </w:rPr>
        <w:t xml:space="preserve"> is heat generated within the </w:t>
      </w:r>
      <w:r w:rsidRPr="00995C4A" w:rsidR="007C129C">
        <w:rPr>
          <w:lang w:val="en-GB"/>
        </w:rPr>
        <w:t>e</w:t>
      </w:r>
      <w:r w:rsidRPr="00995C4A" w:rsidR="00E4779C">
        <w:rPr>
          <w:lang w:val="en-GB"/>
        </w:rPr>
        <w:t xml:space="preserve">arth's crust. It is used mainly for </w:t>
      </w:r>
      <w:r w:rsidRPr="00995C4A" w:rsidR="00AC76EF">
        <w:rPr>
          <w:lang w:val="en-GB"/>
        </w:rPr>
        <w:t xml:space="preserve">heating and district heating, </w:t>
      </w:r>
      <w:r w:rsidRPr="00995C4A" w:rsidR="00E4779C">
        <w:rPr>
          <w:lang w:val="en-GB"/>
        </w:rPr>
        <w:t>electricity generation and industrial processes. Several geothermal technologies exist, at different levels of maturity. Heat is usually extracted from the ground using heat pumps or geothermal wells</w:t>
      </w:r>
      <w:r w:rsidRPr="00995C4A" w:rsidR="007E21E1">
        <w:rPr>
          <w:lang w:val="en-GB"/>
        </w:rPr>
        <w:t>, ranging from small buildings and shallow, low-temperature ground heat to large-scale installations, deep geothermal sources and high temperatures. What options are technically and economically viable depends, among other things, on the various geological and geothermal conditions</w:t>
      </w:r>
      <w:r w:rsidRPr="00995C4A" w:rsidR="00E4779C">
        <w:rPr>
          <w:lang w:val="en-GB"/>
        </w:rPr>
        <w:t xml:space="preserve">. </w:t>
      </w:r>
      <w:r w:rsidRPr="00995C4A" w:rsidR="00F409BA">
        <w:rPr>
          <w:lang w:val="en-GB"/>
        </w:rPr>
        <w:t xml:space="preserve">Exploring ground heat </w:t>
      </w:r>
      <w:r w:rsidRPr="00995C4A" w:rsidR="00A84A8E">
        <w:rPr>
          <w:lang w:val="en-GB"/>
        </w:rPr>
        <w:t>is o</w:t>
      </w:r>
      <w:r w:rsidRPr="00995C4A" w:rsidR="00790E91">
        <w:rPr>
          <w:lang w:val="en-GB"/>
        </w:rPr>
        <w:t>ne of the most dynamically developing versions of geothermal heat utili</w:t>
      </w:r>
      <w:r w:rsidRPr="00995C4A" w:rsidR="002403ED">
        <w:rPr>
          <w:lang w:val="en-GB"/>
        </w:rPr>
        <w:t>s</w:t>
      </w:r>
      <w:r w:rsidRPr="00995C4A" w:rsidR="00790E91">
        <w:rPr>
          <w:lang w:val="en-GB"/>
        </w:rPr>
        <w:t>ation</w:t>
      </w:r>
      <w:r w:rsidRPr="00995C4A" w:rsidR="00A84A8E">
        <w:rPr>
          <w:lang w:val="en-GB"/>
        </w:rPr>
        <w:t>.</w:t>
      </w:r>
      <w:r w:rsidRPr="00995C4A" w:rsidR="00790E91">
        <w:rPr>
          <w:lang w:val="en-GB"/>
        </w:rPr>
        <w:t xml:space="preserve"> </w:t>
      </w:r>
      <w:r w:rsidRPr="00995C4A" w:rsidR="00E4779C">
        <w:rPr>
          <w:lang w:val="en-GB"/>
        </w:rPr>
        <w:t>Electricity generation uses the heat stored underground, converting it to electrical power by steam technologies</w:t>
      </w:r>
      <w:r w:rsidRPr="00995C4A" w:rsidR="003B795E">
        <w:rPr>
          <w:lang w:val="en-GB"/>
        </w:rPr>
        <w:t xml:space="preserve">. Some of the quoted technologies are suitable for the extraction of rare earth metals present in </w:t>
      </w:r>
      <w:r w:rsidRPr="00995C4A" w:rsidR="00063F47">
        <w:rPr>
          <w:lang w:val="en-GB"/>
        </w:rPr>
        <w:t>geo</w:t>
      </w:r>
      <w:r w:rsidRPr="00995C4A" w:rsidR="003B795E">
        <w:rPr>
          <w:lang w:val="en-GB"/>
        </w:rPr>
        <w:t>thermal waters</w:t>
      </w:r>
      <w:r w:rsidRPr="00995C4A" w:rsidR="00240007">
        <w:rPr>
          <w:lang w:val="en-GB"/>
        </w:rPr>
        <w:t>;</w:t>
      </w:r>
    </w:p>
    <w:p w:rsidRPr="00995C4A" w:rsidR="00916BDA" w:rsidRDefault="00916BDA" w14:paraId="0354972D" w14:textId="77777777">
      <w:pPr>
        <w:rPr>
          <w:lang w:val="en-GB"/>
        </w:rPr>
      </w:pPr>
    </w:p>
    <w:p w:rsidRPr="00995C4A" w:rsidR="0083612C" w:rsidP="007B0E1C" w:rsidRDefault="006355B2" w14:paraId="5F385E81" w14:textId="77777777">
      <w:pPr>
        <w:pStyle w:val="Heading1"/>
        <w:numPr>
          <w:ilvl w:val="0"/>
          <w:numId w:val="1"/>
        </w:numPr>
        <w:pBdr>
          <w:top w:val="nil"/>
          <w:left w:val="nil"/>
          <w:bottom w:val="nil"/>
          <w:right w:val="nil"/>
          <w:between w:val="nil"/>
        </w:pBdr>
        <w:ind w:left="567" w:hanging="567"/>
        <w:rPr>
          <w:lang w:val="en-GB"/>
        </w:rPr>
      </w:pPr>
      <w:r w:rsidRPr="00995C4A">
        <w:rPr>
          <w:lang w:val="en-GB"/>
        </w:rPr>
        <w:t>recogni</w:t>
      </w:r>
      <w:r w:rsidRPr="00995C4A" w:rsidR="002403ED">
        <w:rPr>
          <w:lang w:val="en-GB"/>
        </w:rPr>
        <w:t>s</w:t>
      </w:r>
      <w:r w:rsidRPr="00995C4A">
        <w:rPr>
          <w:lang w:val="en-GB"/>
        </w:rPr>
        <w:t>es</w:t>
      </w:r>
      <w:r w:rsidRPr="00995C4A" w:rsidR="00B210E1">
        <w:rPr>
          <w:lang w:val="en-GB"/>
        </w:rPr>
        <w:t xml:space="preserve"> that g</w:t>
      </w:r>
      <w:r w:rsidRPr="00995C4A" w:rsidR="0083612C">
        <w:rPr>
          <w:lang w:val="en-GB"/>
        </w:rPr>
        <w:t xml:space="preserve">eothermal energy is the only renewable energy source that cannot be derived from solar energy. Solar energy, wind energy, tidal energy and biomass are </w:t>
      </w:r>
      <w:r w:rsidRPr="00995C4A" w:rsidR="00AC17A2">
        <w:rPr>
          <w:lang w:val="en-GB"/>
        </w:rPr>
        <w:t xml:space="preserve">all </w:t>
      </w:r>
      <w:r w:rsidRPr="00995C4A" w:rsidR="0083612C">
        <w:rPr>
          <w:lang w:val="en-GB"/>
        </w:rPr>
        <w:t xml:space="preserve">formed through the energy source coming from the </w:t>
      </w:r>
      <w:r w:rsidRPr="00995C4A" w:rsidR="007C129C">
        <w:rPr>
          <w:lang w:val="en-GB"/>
        </w:rPr>
        <w:t>s</w:t>
      </w:r>
      <w:r w:rsidRPr="00995C4A" w:rsidR="0083612C">
        <w:rPr>
          <w:lang w:val="en-GB"/>
        </w:rPr>
        <w:t xml:space="preserve">un to the </w:t>
      </w:r>
      <w:r w:rsidRPr="00995C4A" w:rsidR="007C129C">
        <w:rPr>
          <w:lang w:val="en-GB"/>
        </w:rPr>
        <w:t>e</w:t>
      </w:r>
      <w:r w:rsidRPr="00995C4A" w:rsidR="0083612C">
        <w:rPr>
          <w:lang w:val="en-GB"/>
        </w:rPr>
        <w:t xml:space="preserve">arth. Geothermal energy is the only energy that originates from the heat of the </w:t>
      </w:r>
      <w:r w:rsidRPr="00995C4A" w:rsidR="007C129C">
        <w:rPr>
          <w:lang w:val="en-GB"/>
        </w:rPr>
        <w:t>e</w:t>
      </w:r>
      <w:r w:rsidRPr="00995C4A" w:rsidR="0083612C">
        <w:rPr>
          <w:lang w:val="en-GB"/>
        </w:rPr>
        <w:t>arth</w:t>
      </w:r>
      <w:r w:rsidRPr="00995C4A" w:rsidR="007E21E1">
        <w:rPr>
          <w:lang w:val="en-GB"/>
        </w:rPr>
        <w:t>. At the same time, these two types of renewable energy could be combined to increase efficiency. For example, there are applications that combine geothermal with solar energy stored in boreholes between seasons</w:t>
      </w:r>
      <w:r w:rsidRPr="00995C4A" w:rsidR="00A7366E">
        <w:rPr>
          <w:lang w:val="en-GB"/>
        </w:rPr>
        <w:t>;</w:t>
      </w:r>
    </w:p>
    <w:p w:rsidRPr="00995C4A" w:rsidR="0083612C" w:rsidRDefault="0083612C" w14:paraId="108E6DCF" w14:textId="77777777">
      <w:pPr>
        <w:rPr>
          <w:lang w:val="en-GB"/>
        </w:rPr>
      </w:pPr>
    </w:p>
    <w:p w:rsidRPr="00995C4A" w:rsidR="00990DC2" w:rsidP="007B0E1C" w:rsidRDefault="00A7366E" w14:paraId="43175ABE" w14:textId="77777777">
      <w:pPr>
        <w:pStyle w:val="Heading1"/>
        <w:numPr>
          <w:ilvl w:val="0"/>
          <w:numId w:val="1"/>
        </w:numPr>
        <w:pBdr>
          <w:top w:val="nil"/>
          <w:left w:val="nil"/>
          <w:bottom w:val="nil"/>
          <w:right w:val="nil"/>
          <w:between w:val="nil"/>
        </w:pBdr>
        <w:ind w:left="567" w:hanging="567"/>
        <w:rPr>
          <w:lang w:val="en-GB"/>
        </w:rPr>
      </w:pPr>
      <w:r w:rsidRPr="00995C4A">
        <w:rPr>
          <w:lang w:val="en-GB"/>
        </w:rPr>
        <w:t xml:space="preserve">notes that from </w:t>
      </w:r>
      <w:r w:rsidRPr="00995C4A" w:rsidR="00F11129">
        <w:rPr>
          <w:lang w:val="en-GB"/>
        </w:rPr>
        <w:t xml:space="preserve">the </w:t>
      </w:r>
      <w:r w:rsidRPr="00995C4A" w:rsidR="00D63686">
        <w:rPr>
          <w:lang w:val="en-GB"/>
        </w:rPr>
        <w:t>point of view</w:t>
      </w:r>
      <w:r w:rsidRPr="00995C4A" w:rsidR="00F11129">
        <w:rPr>
          <w:lang w:val="en-GB"/>
        </w:rPr>
        <w:t xml:space="preserve"> of LRAs,</w:t>
      </w:r>
      <w:r w:rsidRPr="00995C4A" w:rsidR="000C26DC">
        <w:rPr>
          <w:lang w:val="en-GB"/>
        </w:rPr>
        <w:t xml:space="preserve"> </w:t>
      </w:r>
      <w:r w:rsidRPr="00995C4A" w:rsidR="00556F23">
        <w:rPr>
          <w:lang w:val="en-GB"/>
        </w:rPr>
        <w:t>g</w:t>
      </w:r>
      <w:r w:rsidRPr="00995C4A" w:rsidR="00A0184C">
        <w:rPr>
          <w:lang w:val="en-GB"/>
        </w:rPr>
        <w:t xml:space="preserve">eothermal energy </w:t>
      </w:r>
      <w:r w:rsidRPr="00995C4A" w:rsidR="00261637">
        <w:rPr>
          <w:lang w:val="en-GB"/>
        </w:rPr>
        <w:t xml:space="preserve">is </w:t>
      </w:r>
      <w:r w:rsidRPr="00995C4A" w:rsidR="00B47728">
        <w:rPr>
          <w:lang w:val="en-GB"/>
        </w:rPr>
        <w:t xml:space="preserve">a </w:t>
      </w:r>
      <w:r w:rsidRPr="00995C4A" w:rsidR="00E46C71">
        <w:rPr>
          <w:lang w:val="en-GB"/>
        </w:rPr>
        <w:t xml:space="preserve">renewable, </w:t>
      </w:r>
      <w:r w:rsidRPr="00995C4A" w:rsidR="00E4779C">
        <w:rPr>
          <w:lang w:val="en-GB"/>
        </w:rPr>
        <w:t xml:space="preserve">clean, local energy source without </w:t>
      </w:r>
      <w:r w:rsidRPr="00995C4A" w:rsidR="00F11129">
        <w:rPr>
          <w:lang w:val="en-GB"/>
        </w:rPr>
        <w:t xml:space="preserve">a </w:t>
      </w:r>
      <w:r w:rsidRPr="00995C4A" w:rsidR="00E4779C">
        <w:rPr>
          <w:lang w:val="en-GB"/>
        </w:rPr>
        <w:t xml:space="preserve">significant </w:t>
      </w:r>
      <w:r w:rsidRPr="00995C4A" w:rsidR="0091327A">
        <w:rPr>
          <w:lang w:val="en-GB"/>
        </w:rPr>
        <w:t xml:space="preserve">environmental </w:t>
      </w:r>
      <w:r w:rsidRPr="00995C4A" w:rsidR="00E4779C">
        <w:rPr>
          <w:lang w:val="en-GB"/>
        </w:rPr>
        <w:t>footprint</w:t>
      </w:r>
      <w:r w:rsidRPr="00995C4A" w:rsidR="007E21E1">
        <w:rPr>
          <w:lang w:val="en-GB"/>
        </w:rPr>
        <w:t>, when planned, built and implemented correctly</w:t>
      </w:r>
      <w:r w:rsidRPr="00995C4A" w:rsidR="00E4779C">
        <w:rPr>
          <w:lang w:val="en-GB"/>
        </w:rPr>
        <w:t>.</w:t>
      </w:r>
      <w:r w:rsidRPr="00995C4A" w:rsidR="00255A32">
        <w:rPr>
          <w:lang w:val="en-GB"/>
        </w:rPr>
        <w:t xml:space="preserve"> </w:t>
      </w:r>
      <w:r w:rsidRPr="00995C4A" w:rsidR="00C02876">
        <w:rPr>
          <w:lang w:val="en-GB"/>
        </w:rPr>
        <w:t>The green transition entails substantial upfront costs</w:t>
      </w:r>
      <w:r w:rsidRPr="00995C4A" w:rsidR="00C61B26">
        <w:rPr>
          <w:lang w:val="en-GB"/>
        </w:rPr>
        <w:t xml:space="preserve"> that </w:t>
      </w:r>
      <w:r w:rsidRPr="00995C4A" w:rsidR="00C02876">
        <w:rPr>
          <w:lang w:val="en-GB"/>
        </w:rPr>
        <w:t>not all regions and cities can afford without some policy and public finance leverage</w:t>
      </w:r>
      <w:r w:rsidRPr="00995C4A" w:rsidR="004C0C46">
        <w:rPr>
          <w:lang w:val="en-GB"/>
        </w:rPr>
        <w:t>.</w:t>
      </w:r>
      <w:r w:rsidRPr="00995C4A" w:rsidR="00C02876">
        <w:rPr>
          <w:lang w:val="en-GB"/>
        </w:rPr>
        <w:t xml:space="preserve"> </w:t>
      </w:r>
      <w:r w:rsidRPr="00995C4A" w:rsidR="00CD69A7">
        <w:rPr>
          <w:lang w:val="en-GB"/>
        </w:rPr>
        <w:t>T</w:t>
      </w:r>
      <w:r w:rsidRPr="00995C4A" w:rsidR="00C02876">
        <w:rPr>
          <w:lang w:val="en-GB"/>
        </w:rPr>
        <w:t>his intervention is key to ensure a fair, just and inclusive transition for all regions and cities</w:t>
      </w:r>
      <w:r w:rsidRPr="00995C4A" w:rsidR="00E75DD7">
        <w:rPr>
          <w:lang w:val="en-GB"/>
        </w:rPr>
        <w:t>.</w:t>
      </w:r>
      <w:r w:rsidRPr="00995C4A" w:rsidR="00C02876">
        <w:rPr>
          <w:lang w:val="en-GB"/>
        </w:rPr>
        <w:t xml:space="preserve"> </w:t>
      </w:r>
      <w:r w:rsidRPr="00995C4A" w:rsidR="00E75DD7">
        <w:rPr>
          <w:lang w:val="en-GB"/>
        </w:rPr>
        <w:t>A</w:t>
      </w:r>
      <w:r w:rsidRPr="00995C4A" w:rsidR="00C02876">
        <w:rPr>
          <w:lang w:val="en-GB"/>
        </w:rPr>
        <w:t>t the same time, due to its attributes, geothermal energy represents a viable option for many regions and cities and can play a key role in supporting the EU's transition in a just and inclusive manner</w:t>
      </w:r>
      <w:r w:rsidRPr="00995C4A" w:rsidR="00990DC2">
        <w:rPr>
          <w:lang w:val="en-GB"/>
        </w:rPr>
        <w:t>.</w:t>
      </w:r>
      <w:r w:rsidRPr="00995C4A" w:rsidR="005E07DA">
        <w:rPr>
          <w:lang w:val="en-GB"/>
        </w:rPr>
        <w:t xml:space="preserve"> </w:t>
      </w:r>
      <w:r w:rsidRPr="00995C4A" w:rsidR="008B4ACB">
        <w:rPr>
          <w:lang w:val="en-GB"/>
        </w:rPr>
        <w:t xml:space="preserve">In this context </w:t>
      </w:r>
      <w:r w:rsidRPr="00995C4A" w:rsidR="00097C51">
        <w:rPr>
          <w:lang w:val="en-GB"/>
        </w:rPr>
        <w:t>it is noted that geothermal energy exploration can involve the</w:t>
      </w:r>
      <w:r w:rsidRPr="00995C4A" w:rsidR="00391AED">
        <w:rPr>
          <w:lang w:val="en-GB"/>
        </w:rPr>
        <w:t xml:space="preserve"> </w:t>
      </w:r>
      <w:r w:rsidRPr="00995C4A" w:rsidR="0054226B">
        <w:rPr>
          <w:lang w:val="en-GB"/>
        </w:rPr>
        <w:t xml:space="preserve">use of decommissioned fossil fuel facilities </w:t>
      </w:r>
      <w:r w:rsidRPr="00995C4A" w:rsidR="00097C51">
        <w:rPr>
          <w:lang w:val="en-GB"/>
        </w:rPr>
        <w:t>such as c</w:t>
      </w:r>
      <w:r w:rsidRPr="00995C4A" w:rsidR="0054226B">
        <w:rPr>
          <w:lang w:val="en-GB"/>
        </w:rPr>
        <w:t>oal mines</w:t>
      </w:r>
      <w:r w:rsidRPr="00995C4A" w:rsidR="00501173">
        <w:rPr>
          <w:lang w:val="en-GB"/>
        </w:rPr>
        <w:t>,</w:t>
      </w:r>
      <w:r w:rsidRPr="00995C4A" w:rsidR="00097C51">
        <w:rPr>
          <w:lang w:val="en-GB"/>
        </w:rPr>
        <w:t xml:space="preserve"> which can be positive for local communities and economies in these regions;</w:t>
      </w:r>
    </w:p>
    <w:p w:rsidRPr="00995C4A" w:rsidR="00037188" w:rsidRDefault="00037188" w14:paraId="7200FBDE" w14:textId="77777777">
      <w:pPr>
        <w:rPr>
          <w:lang w:val="en-GB"/>
        </w:rPr>
      </w:pPr>
    </w:p>
    <w:p w:rsidRPr="005E5AD0" w:rsidR="009411CA" w:rsidP="007B0E1C" w:rsidRDefault="00037188" w14:paraId="2ACB737A" w14:textId="1709732D">
      <w:pPr>
        <w:pStyle w:val="Heading1"/>
        <w:numPr>
          <w:ilvl w:val="0"/>
          <w:numId w:val="1"/>
        </w:numPr>
        <w:pBdr>
          <w:top w:val="nil"/>
          <w:left w:val="nil"/>
          <w:bottom w:val="nil"/>
          <w:right w:val="nil"/>
          <w:between w:val="nil"/>
        </w:pBdr>
        <w:ind w:left="567" w:hanging="567"/>
      </w:pPr>
      <w:r w:rsidRPr="005E5AD0">
        <w:t>highlights that t</w:t>
      </w:r>
      <w:r w:rsidRPr="005E5AD0" w:rsidR="009411CA">
        <w:t>he l</w:t>
      </w:r>
      <w:r w:rsidRPr="005E5AD0" w:rsidR="00060C1C">
        <w:t>ack of data is a significant challenge</w:t>
      </w:r>
      <w:r w:rsidRPr="005E5AD0" w:rsidR="00C73619">
        <w:t xml:space="preserve"> for</w:t>
      </w:r>
      <w:r w:rsidRPr="005E5AD0" w:rsidR="00060C1C">
        <w:t xml:space="preserve"> municipalities</w:t>
      </w:r>
      <w:r w:rsidRPr="005E5AD0" w:rsidR="008C52E9">
        <w:t xml:space="preserve"> that</w:t>
      </w:r>
      <w:r w:rsidRPr="005E5AD0" w:rsidR="00C73619">
        <w:t xml:space="preserve"> </w:t>
      </w:r>
      <w:r w:rsidRPr="005E5AD0" w:rsidR="00060C1C">
        <w:t>should have access to different types of geological and subsurface data to be able to evaluate applications and issue building permits for geothermal facilities</w:t>
      </w:r>
      <w:r w:rsidRPr="005E5AD0" w:rsidR="00527777">
        <w:t xml:space="preserve">. </w:t>
      </w:r>
      <w:r w:rsidRPr="005E5AD0" w:rsidR="004B7A6A">
        <w:t xml:space="preserve">A lack </w:t>
      </w:r>
      <w:r w:rsidRPr="005E5AD0" w:rsidR="00527777">
        <w:t xml:space="preserve">of data </w:t>
      </w:r>
      <w:r w:rsidRPr="005E5AD0" w:rsidR="004468C6">
        <w:t>hinders</w:t>
      </w:r>
      <w:r w:rsidRPr="005E5AD0" w:rsidR="004B7A6A">
        <w:t xml:space="preserve"> efforts </w:t>
      </w:r>
      <w:r w:rsidRPr="005E5AD0" w:rsidR="00D71DAC">
        <w:t>to reduce</w:t>
      </w:r>
      <w:r w:rsidRPr="005E5AD0" w:rsidR="004B7A6A">
        <w:t xml:space="preserve"> </w:t>
      </w:r>
      <w:r w:rsidRPr="005E5AD0" w:rsidR="004468C6">
        <w:t>local emissions</w:t>
      </w:r>
      <w:r w:rsidRPr="005E5AD0" w:rsidR="004B7A6A">
        <w:t>,</w:t>
      </w:r>
      <w:r w:rsidRPr="005E5AD0" w:rsidR="004468C6">
        <w:t xml:space="preserve"> decarbonis</w:t>
      </w:r>
      <w:r w:rsidRPr="005E5AD0" w:rsidR="00D71DAC">
        <w:t>e</w:t>
      </w:r>
      <w:r w:rsidRPr="005E5AD0" w:rsidR="004468C6">
        <w:t xml:space="preserve"> the energy system and </w:t>
      </w:r>
      <w:r w:rsidRPr="005E5AD0" w:rsidR="00D71DAC">
        <w:t xml:space="preserve">ensure </w:t>
      </w:r>
      <w:r w:rsidRPr="005E5AD0" w:rsidR="004468C6">
        <w:t xml:space="preserve">affordable </w:t>
      </w:r>
      <w:r w:rsidRPr="007B0E1C" w:rsidR="00B40B8D">
        <w:rPr>
          <w:lang w:val="en-GB"/>
        </w:rPr>
        <w:t>renewable</w:t>
      </w:r>
      <w:r w:rsidRPr="005E5AD0" w:rsidR="00995C4A">
        <w:t xml:space="preserve"> </w:t>
      </w:r>
      <w:r w:rsidRPr="005E5AD0" w:rsidR="004468C6">
        <w:t>energy for all</w:t>
      </w:r>
      <w:r w:rsidRPr="005E5AD0" w:rsidR="00E80931">
        <w:t xml:space="preserve">. </w:t>
      </w:r>
      <w:r w:rsidRPr="005E5AD0" w:rsidR="00FC1919">
        <w:t>A</w:t>
      </w:r>
      <w:r w:rsidRPr="005E5AD0" w:rsidR="00E80931">
        <w:t xml:space="preserve">ccess to geothermal data </w:t>
      </w:r>
      <w:r w:rsidRPr="005E5AD0" w:rsidR="00FC1919">
        <w:t xml:space="preserve">also </w:t>
      </w:r>
      <w:r w:rsidRPr="005E5AD0" w:rsidR="00E45DA7">
        <w:t xml:space="preserve">facilitates </w:t>
      </w:r>
      <w:r w:rsidRPr="005E5AD0" w:rsidR="004B7A6A">
        <w:t xml:space="preserve">the </w:t>
      </w:r>
      <w:r w:rsidRPr="005E5AD0" w:rsidR="00E80931">
        <w:t>prepar</w:t>
      </w:r>
      <w:r w:rsidRPr="005E5AD0" w:rsidR="004B7A6A">
        <w:t>ation of</w:t>
      </w:r>
      <w:r w:rsidRPr="005E5AD0" w:rsidR="00E80931">
        <w:t xml:space="preserve"> local building regulations and spatial plans</w:t>
      </w:r>
      <w:r w:rsidRPr="005E5AD0" w:rsidR="00513A79">
        <w:t xml:space="preserve"> of municip</w:t>
      </w:r>
      <w:r w:rsidRPr="005E5AD0" w:rsidR="009D2BFC">
        <w:t>a</w:t>
      </w:r>
      <w:r w:rsidRPr="005E5AD0" w:rsidR="00513A79">
        <w:t>lities</w:t>
      </w:r>
      <w:r w:rsidRPr="005E5AD0" w:rsidR="00E80931">
        <w:t>. Th</w:t>
      </w:r>
      <w:r w:rsidRPr="005E5AD0" w:rsidR="004B7A6A">
        <w:t>erefore</w:t>
      </w:r>
      <w:r w:rsidRPr="005E5AD0" w:rsidR="00E80931">
        <w:t xml:space="preserve">, local geothermal endowments can be more </w:t>
      </w:r>
      <w:r w:rsidRPr="005E5AD0" w:rsidR="00D71DAC">
        <w:t xml:space="preserve">strongly </w:t>
      </w:r>
      <w:r w:rsidRPr="005E5AD0" w:rsidR="00E80931">
        <w:t xml:space="preserve">considered </w:t>
      </w:r>
      <w:r w:rsidRPr="005E5AD0" w:rsidR="00275BF1">
        <w:t xml:space="preserve">when granting </w:t>
      </w:r>
      <w:r w:rsidRPr="005E5AD0" w:rsidR="00E80931">
        <w:t>construction permits in a given area;</w:t>
      </w:r>
    </w:p>
    <w:p w:rsidRPr="00995C4A" w:rsidR="00842ACD" w:rsidRDefault="00842ACD" w14:paraId="5A19E4AA" w14:textId="77777777">
      <w:pPr>
        <w:rPr>
          <w:lang w:val="en-GB"/>
        </w:rPr>
      </w:pPr>
    </w:p>
    <w:p w:rsidRPr="00995C4A" w:rsidR="00097C51" w:rsidP="007B0E1C" w:rsidRDefault="009F2ECE" w14:paraId="2E662354" w14:textId="77777777">
      <w:pPr>
        <w:pStyle w:val="Heading1"/>
        <w:numPr>
          <w:ilvl w:val="0"/>
          <w:numId w:val="1"/>
        </w:numPr>
        <w:pBdr>
          <w:top w:val="nil"/>
          <w:left w:val="nil"/>
          <w:bottom w:val="nil"/>
          <w:right w:val="nil"/>
          <w:between w:val="nil"/>
        </w:pBdr>
        <w:ind w:left="567" w:hanging="567"/>
        <w:rPr>
          <w:lang w:val="en-GB"/>
        </w:rPr>
      </w:pPr>
      <w:r w:rsidRPr="00995C4A">
        <w:rPr>
          <w:lang w:val="en-GB"/>
        </w:rPr>
        <w:t>u</w:t>
      </w:r>
      <w:r w:rsidRPr="00995C4A" w:rsidR="00C73619">
        <w:rPr>
          <w:lang w:val="en-GB"/>
        </w:rPr>
        <w:t xml:space="preserve">rges information sharing to motivate LRAs to use geothermal water at its different temperatures. </w:t>
      </w:r>
      <w:r w:rsidRPr="00995C4A" w:rsidR="00097C51">
        <w:rPr>
          <w:lang w:val="en-GB"/>
        </w:rPr>
        <w:t xml:space="preserve">Public and private buildings falling under the administrative responsibility of LRAs are also concerned in the cascade use of geothermal energy. Cascade use means different ways of </w:t>
      </w:r>
      <w:r w:rsidRPr="00995C4A" w:rsidR="00D71DAC">
        <w:rPr>
          <w:lang w:val="en-GB"/>
        </w:rPr>
        <w:t>utilising</w:t>
      </w:r>
      <w:r w:rsidRPr="00995C4A" w:rsidR="00097C51">
        <w:rPr>
          <w:lang w:val="en-GB"/>
        </w:rPr>
        <w:t xml:space="preserve"> geothermal water from high to low temperature. High temperature waters are primarily for residential buildings, municipal district heating grids, colder temperature</w:t>
      </w:r>
      <w:r w:rsidRPr="00995C4A" w:rsidR="00D71DAC">
        <w:rPr>
          <w:lang w:val="en-GB"/>
        </w:rPr>
        <w:t>s</w:t>
      </w:r>
      <w:r w:rsidRPr="00995C4A" w:rsidR="00097C51">
        <w:rPr>
          <w:lang w:val="en-GB"/>
        </w:rPr>
        <w:t xml:space="preserve"> for municipally</w:t>
      </w:r>
      <w:r w:rsidRPr="00995C4A" w:rsidR="00D71DAC">
        <w:rPr>
          <w:lang w:val="en-GB"/>
        </w:rPr>
        <w:t>-</w:t>
      </w:r>
      <w:r w:rsidRPr="00995C4A" w:rsidR="00097C51">
        <w:rPr>
          <w:lang w:val="en-GB"/>
        </w:rPr>
        <w:t>owned healthcare and wellness facilities</w:t>
      </w:r>
      <w:r w:rsidRPr="00995C4A" w:rsidR="00ED3973">
        <w:rPr>
          <w:lang w:val="en-GB"/>
        </w:rPr>
        <w:t xml:space="preserve"> and</w:t>
      </w:r>
      <w:r w:rsidRPr="00995C4A" w:rsidR="00097C51">
        <w:rPr>
          <w:lang w:val="en-GB"/>
        </w:rPr>
        <w:t xml:space="preserve"> tourism, and finally low temperature levels </w:t>
      </w:r>
      <w:r w:rsidRPr="00995C4A" w:rsidR="00ED3973">
        <w:rPr>
          <w:lang w:val="en-GB"/>
        </w:rPr>
        <w:t xml:space="preserve">are for </w:t>
      </w:r>
      <w:r w:rsidRPr="00995C4A" w:rsidR="00097C51">
        <w:rPr>
          <w:lang w:val="en-GB"/>
        </w:rPr>
        <w:t xml:space="preserve">the agricultural and aquaculture sectors. Similarly, where higher temperature geothermal deposits exist, the potential for industrial use of geothermal </w:t>
      </w:r>
      <w:r w:rsidRPr="00995C4A" w:rsidR="00D71DAC">
        <w:rPr>
          <w:lang w:val="en-GB"/>
        </w:rPr>
        <w:t xml:space="preserve">energy </w:t>
      </w:r>
      <w:r w:rsidRPr="00995C4A" w:rsidR="00097C51">
        <w:rPr>
          <w:lang w:val="en-GB"/>
        </w:rPr>
        <w:t xml:space="preserve">could be explored </w:t>
      </w:r>
      <w:r w:rsidRPr="00995C4A" w:rsidR="00D71DAC">
        <w:rPr>
          <w:lang w:val="en-GB"/>
        </w:rPr>
        <w:t xml:space="preserve">by </w:t>
      </w:r>
      <w:r w:rsidRPr="00995C4A" w:rsidR="00097C51">
        <w:rPr>
          <w:lang w:val="en-GB"/>
        </w:rPr>
        <w:t>fuelling local electricity and industrial heating and cooling needs</w:t>
      </w:r>
      <w:r w:rsidRPr="00995C4A" w:rsidR="00521F86">
        <w:rPr>
          <w:lang w:val="en-GB"/>
        </w:rPr>
        <w:t>;</w:t>
      </w:r>
    </w:p>
    <w:p w:rsidRPr="00995C4A" w:rsidR="00C44DF2" w:rsidRDefault="00C44DF2" w14:paraId="1F6611A1" w14:textId="77777777">
      <w:pPr>
        <w:rPr>
          <w:lang w:val="en-GB"/>
        </w:rPr>
      </w:pPr>
    </w:p>
    <w:p w:rsidRPr="00995C4A" w:rsidR="004F3A94" w:rsidP="007B0E1C" w:rsidRDefault="003C656E" w14:paraId="29BF053D" w14:textId="77777777">
      <w:pPr>
        <w:pStyle w:val="Heading1"/>
        <w:numPr>
          <w:ilvl w:val="0"/>
          <w:numId w:val="1"/>
        </w:numPr>
        <w:pBdr>
          <w:top w:val="nil"/>
          <w:left w:val="nil"/>
          <w:bottom w:val="nil"/>
          <w:right w:val="nil"/>
          <w:between w:val="nil"/>
        </w:pBdr>
        <w:ind w:left="567" w:hanging="567"/>
        <w:rPr>
          <w:lang w:val="en-GB"/>
        </w:rPr>
      </w:pPr>
      <w:r w:rsidRPr="00995C4A">
        <w:rPr>
          <w:lang w:val="en-GB"/>
        </w:rPr>
        <w:t xml:space="preserve">notes </w:t>
      </w:r>
      <w:r w:rsidRPr="00995C4A" w:rsidR="00B4773C">
        <w:rPr>
          <w:lang w:val="en-GB"/>
        </w:rPr>
        <w:t xml:space="preserve">that </w:t>
      </w:r>
      <w:r w:rsidRPr="00995C4A" w:rsidR="00C73619">
        <w:rPr>
          <w:lang w:val="en-GB"/>
        </w:rPr>
        <w:t xml:space="preserve">the contribution of geothermal energy to local jobs </w:t>
      </w:r>
      <w:r w:rsidRPr="00995C4A" w:rsidR="007F0F32">
        <w:rPr>
          <w:lang w:val="en-GB"/>
        </w:rPr>
        <w:t>should not be underestimated</w:t>
      </w:r>
      <w:r w:rsidRPr="00995C4A" w:rsidR="004006D9">
        <w:rPr>
          <w:lang w:val="en-GB"/>
        </w:rPr>
        <w:t xml:space="preserve">. Staffing of local geothermal power plants, including geothermal engineers and experts to support planning, delivery and maintenance of geothermal infrastructures </w:t>
      </w:r>
      <w:r w:rsidRPr="00995C4A" w:rsidR="007F0F32">
        <w:rPr>
          <w:lang w:val="en-GB"/>
        </w:rPr>
        <w:t>provide for good employment opportunities,</w:t>
      </w:r>
      <w:r w:rsidRPr="00995C4A" w:rsidR="004006D9">
        <w:rPr>
          <w:lang w:val="en-GB"/>
        </w:rPr>
        <w:t xml:space="preserve"> especially in rural areas</w:t>
      </w:r>
      <w:r w:rsidRPr="00995C4A" w:rsidR="00526BFB">
        <w:rPr>
          <w:lang w:val="en-GB"/>
        </w:rPr>
        <w:t>. Where necessary, re-skilling program</w:t>
      </w:r>
      <w:r w:rsidRPr="00995C4A" w:rsidR="00D71DAC">
        <w:rPr>
          <w:lang w:val="en-GB"/>
        </w:rPr>
        <w:t>me</w:t>
      </w:r>
      <w:r w:rsidRPr="00995C4A" w:rsidR="00526BFB">
        <w:rPr>
          <w:lang w:val="en-GB"/>
        </w:rPr>
        <w:t xml:space="preserve">s </w:t>
      </w:r>
      <w:r w:rsidRPr="00995C4A" w:rsidR="00A679DA">
        <w:rPr>
          <w:lang w:val="en-GB"/>
        </w:rPr>
        <w:t xml:space="preserve">for workers </w:t>
      </w:r>
      <w:r w:rsidRPr="00995C4A" w:rsidR="00526BFB">
        <w:rPr>
          <w:lang w:val="en-GB"/>
        </w:rPr>
        <w:t xml:space="preserve">should </w:t>
      </w:r>
      <w:r w:rsidRPr="00995C4A" w:rsidR="00A679DA">
        <w:rPr>
          <w:lang w:val="en-GB"/>
        </w:rPr>
        <w:t xml:space="preserve">facilitate </w:t>
      </w:r>
      <w:r w:rsidRPr="00995C4A" w:rsidR="00FF7064">
        <w:rPr>
          <w:lang w:val="en-GB"/>
        </w:rPr>
        <w:t>local geothermal energy production</w:t>
      </w:r>
      <w:r w:rsidRPr="00995C4A" w:rsidR="00C5762E">
        <w:rPr>
          <w:lang w:val="en-GB"/>
        </w:rPr>
        <w:t>.</w:t>
      </w:r>
      <w:r w:rsidRPr="00995C4A" w:rsidR="00146817">
        <w:rPr>
          <w:lang w:val="en-GB"/>
        </w:rPr>
        <w:t xml:space="preserve"> </w:t>
      </w:r>
      <w:r w:rsidRPr="00995C4A" w:rsidR="00C5762E">
        <w:rPr>
          <w:lang w:val="en-GB"/>
        </w:rPr>
        <w:t>I</w:t>
      </w:r>
      <w:r w:rsidRPr="00995C4A" w:rsidR="00146817">
        <w:rPr>
          <w:lang w:val="en-GB"/>
        </w:rPr>
        <w:t xml:space="preserve">t is also noteworthy that the expertise needed for geothermal energy exploration </w:t>
      </w:r>
      <w:r w:rsidRPr="00995C4A" w:rsidR="004B7A6A">
        <w:rPr>
          <w:lang w:val="en-GB"/>
        </w:rPr>
        <w:t xml:space="preserve">could be </w:t>
      </w:r>
      <w:r w:rsidRPr="00995C4A" w:rsidR="00146817">
        <w:rPr>
          <w:lang w:val="en-GB"/>
        </w:rPr>
        <w:t>draw</w:t>
      </w:r>
      <w:r w:rsidRPr="00995C4A" w:rsidR="004B7A6A">
        <w:rPr>
          <w:lang w:val="en-GB"/>
        </w:rPr>
        <w:t>n</w:t>
      </w:r>
      <w:r w:rsidRPr="00995C4A" w:rsidR="00146817">
        <w:rPr>
          <w:lang w:val="en-GB"/>
        </w:rPr>
        <w:t xml:space="preserve"> from oil and gas production</w:t>
      </w:r>
      <w:r w:rsidRPr="00995C4A" w:rsidR="00D71DAC">
        <w:rPr>
          <w:lang w:val="en-GB"/>
        </w:rPr>
        <w:t>.</w:t>
      </w:r>
      <w:r w:rsidRPr="00995C4A" w:rsidR="00146817">
        <w:rPr>
          <w:lang w:val="en-GB"/>
        </w:rPr>
        <w:t xml:space="preserve"> </w:t>
      </w:r>
      <w:r w:rsidRPr="00995C4A" w:rsidR="00D71DAC">
        <w:rPr>
          <w:lang w:val="en-GB"/>
        </w:rPr>
        <w:t>I</w:t>
      </w:r>
      <w:r w:rsidRPr="00995C4A" w:rsidR="00146817">
        <w:rPr>
          <w:lang w:val="en-GB"/>
        </w:rPr>
        <w:t>t is</w:t>
      </w:r>
      <w:r w:rsidRPr="00995C4A" w:rsidR="004B7A6A">
        <w:rPr>
          <w:lang w:val="en-GB"/>
        </w:rPr>
        <w:t xml:space="preserve"> therefore</w:t>
      </w:r>
      <w:r w:rsidRPr="00995C4A" w:rsidR="00146817">
        <w:rPr>
          <w:lang w:val="en-GB"/>
        </w:rPr>
        <w:t xml:space="preserve"> an ideal transition for this type of highly-skilled workforce;</w:t>
      </w:r>
    </w:p>
    <w:p w:rsidRPr="00995C4A" w:rsidR="004F3A94" w:rsidRDefault="004F3A94" w14:paraId="2038AE08" w14:textId="77777777">
      <w:pPr>
        <w:rPr>
          <w:lang w:val="en-GB"/>
        </w:rPr>
      </w:pPr>
    </w:p>
    <w:p w:rsidRPr="00995C4A" w:rsidR="00C44DF2" w:rsidP="007B0E1C" w:rsidRDefault="004F3A94" w14:paraId="39793D93" w14:textId="77777777">
      <w:pPr>
        <w:pStyle w:val="Heading1"/>
        <w:numPr>
          <w:ilvl w:val="0"/>
          <w:numId w:val="1"/>
        </w:numPr>
        <w:pBdr>
          <w:top w:val="nil"/>
          <w:left w:val="nil"/>
          <w:bottom w:val="nil"/>
          <w:right w:val="nil"/>
          <w:between w:val="nil"/>
        </w:pBdr>
        <w:ind w:left="567" w:hanging="567"/>
        <w:rPr>
          <w:lang w:val="en-GB"/>
        </w:rPr>
      </w:pPr>
      <w:r w:rsidRPr="00995C4A">
        <w:rPr>
          <w:lang w:val="en-GB"/>
        </w:rPr>
        <w:t>r</w:t>
      </w:r>
      <w:r w:rsidRPr="00995C4A" w:rsidR="00105F07">
        <w:rPr>
          <w:lang w:val="en-GB"/>
        </w:rPr>
        <w:t xml:space="preserve">efers to trade </w:t>
      </w:r>
      <w:r w:rsidRPr="00995C4A" w:rsidR="00146817">
        <w:rPr>
          <w:lang w:val="en-GB"/>
        </w:rPr>
        <w:t xml:space="preserve">unions, alliances or umbrella organisations </w:t>
      </w:r>
      <w:r w:rsidRPr="00995C4A" w:rsidR="00105F07">
        <w:rPr>
          <w:lang w:val="en-GB"/>
        </w:rPr>
        <w:t xml:space="preserve">and </w:t>
      </w:r>
      <w:r w:rsidRPr="00995C4A" w:rsidR="00146817">
        <w:rPr>
          <w:lang w:val="en-GB"/>
        </w:rPr>
        <w:t xml:space="preserve">thinktanks of LRAs </w:t>
      </w:r>
      <w:r w:rsidRPr="00995C4A" w:rsidR="00D71DAC">
        <w:rPr>
          <w:lang w:val="en-GB"/>
        </w:rPr>
        <w:t xml:space="preserve">that </w:t>
      </w:r>
      <w:r w:rsidRPr="00995C4A" w:rsidR="00146817">
        <w:rPr>
          <w:lang w:val="en-GB"/>
        </w:rPr>
        <w:t>can provide tailored geothermal energy information. This concerns permi</w:t>
      </w:r>
      <w:r w:rsidRPr="00995C4A" w:rsidR="00C95354">
        <w:rPr>
          <w:lang w:val="en-GB"/>
        </w:rPr>
        <w:t>tting</w:t>
      </w:r>
      <w:r w:rsidRPr="00995C4A" w:rsidR="00146817">
        <w:rPr>
          <w:lang w:val="en-GB"/>
        </w:rPr>
        <w:t>, technology, finance and geothermal application questions</w:t>
      </w:r>
      <w:r w:rsidRPr="00995C4A" w:rsidR="004B7A6A">
        <w:rPr>
          <w:lang w:val="en-GB"/>
        </w:rPr>
        <w:t>;</w:t>
      </w:r>
    </w:p>
    <w:p w:rsidRPr="00995C4A" w:rsidR="00E7306E" w:rsidRDefault="00E7306E" w14:paraId="7B3C13FB" w14:textId="77777777">
      <w:pPr>
        <w:rPr>
          <w:lang w:val="en-GB"/>
        </w:rPr>
      </w:pPr>
    </w:p>
    <w:p w:rsidRPr="00995C4A" w:rsidR="00F57DD0" w:rsidP="007B0E1C" w:rsidRDefault="009506E1" w14:paraId="4AD76D62" w14:textId="77777777">
      <w:pPr>
        <w:pStyle w:val="Heading1"/>
        <w:numPr>
          <w:ilvl w:val="0"/>
          <w:numId w:val="1"/>
        </w:numPr>
        <w:pBdr>
          <w:top w:val="nil"/>
          <w:left w:val="nil"/>
          <w:bottom w:val="nil"/>
          <w:right w:val="nil"/>
          <w:between w:val="nil"/>
        </w:pBdr>
        <w:ind w:left="567" w:hanging="567"/>
        <w:rPr>
          <w:lang w:val="en-GB"/>
        </w:rPr>
      </w:pPr>
      <w:r w:rsidRPr="00995C4A">
        <w:rPr>
          <w:lang w:val="en-GB"/>
        </w:rPr>
        <w:t>h</w:t>
      </w:r>
      <w:r w:rsidRPr="00995C4A" w:rsidR="00105F07">
        <w:rPr>
          <w:lang w:val="en-GB"/>
        </w:rPr>
        <w:t xml:space="preserve">ighlights that from a technological perspective, </w:t>
      </w:r>
      <w:r w:rsidRPr="00995C4A" w:rsidR="006D5398">
        <w:rPr>
          <w:lang w:val="en-GB"/>
        </w:rPr>
        <w:t xml:space="preserve">it is a requirement that local soil and water, groundwater endowments should not be under threat when planning and delivering geothermal projects. </w:t>
      </w:r>
      <w:r w:rsidRPr="00995C4A" w:rsidR="007E21E1">
        <w:rPr>
          <w:lang w:val="en-GB"/>
        </w:rPr>
        <w:t>Where</w:t>
      </w:r>
      <w:r w:rsidRPr="00995C4A" w:rsidR="00D71DAC">
        <w:rPr>
          <w:lang w:val="en-GB"/>
        </w:rPr>
        <w:t xml:space="preserve"> </w:t>
      </w:r>
      <w:r w:rsidRPr="00995C4A" w:rsidR="00535780">
        <w:rPr>
          <w:lang w:val="en-GB"/>
        </w:rPr>
        <w:t>i</w:t>
      </w:r>
      <w:r w:rsidRPr="00995C4A" w:rsidR="006D5398">
        <w:rPr>
          <w:lang w:val="en-GB"/>
        </w:rPr>
        <w:t xml:space="preserve">t is </w:t>
      </w:r>
      <w:r w:rsidRPr="00995C4A" w:rsidR="007E21E1">
        <w:rPr>
          <w:lang w:val="en-GB"/>
        </w:rPr>
        <w:t>not already in place, effective legislation and protective measures must be developed to specifically address the safeguarding of water and soil quality, especially in</w:t>
      </w:r>
      <w:r w:rsidRPr="00995C4A" w:rsidR="006D5398">
        <w:rPr>
          <w:lang w:val="en-GB"/>
        </w:rPr>
        <w:t xml:space="preserve"> considering the shallow, low temperature geothermal potential that is widely available in Europe</w:t>
      </w:r>
      <w:r w:rsidRPr="00995C4A" w:rsidR="009F11B8">
        <w:rPr>
          <w:lang w:val="en-GB"/>
        </w:rPr>
        <w:t>.</w:t>
      </w:r>
      <w:r w:rsidRPr="00995C4A" w:rsidR="006D5398">
        <w:rPr>
          <w:lang w:val="en-GB"/>
        </w:rPr>
        <w:t xml:space="preserve"> </w:t>
      </w:r>
      <w:r w:rsidRPr="00995C4A" w:rsidR="009F11B8">
        <w:rPr>
          <w:lang w:val="en-GB"/>
        </w:rPr>
        <w:t xml:space="preserve">The </w:t>
      </w:r>
      <w:r w:rsidRPr="00995C4A" w:rsidR="006D5398">
        <w:rPr>
          <w:lang w:val="en-GB"/>
        </w:rPr>
        <w:t>proper</w:t>
      </w:r>
      <w:r w:rsidRPr="00995C4A" w:rsidR="006D52A3">
        <w:rPr>
          <w:lang w:val="en-GB"/>
        </w:rPr>
        <w:t>, environment</w:t>
      </w:r>
      <w:r w:rsidRPr="00995C4A" w:rsidR="00D71DAC">
        <w:rPr>
          <w:lang w:val="en-GB"/>
        </w:rPr>
        <w:t>ally</w:t>
      </w:r>
      <w:r w:rsidRPr="00995C4A" w:rsidR="006D52A3">
        <w:rPr>
          <w:lang w:val="en-GB"/>
        </w:rPr>
        <w:t xml:space="preserve"> friendly </w:t>
      </w:r>
      <w:r w:rsidRPr="00995C4A" w:rsidR="006D5398">
        <w:rPr>
          <w:lang w:val="en-GB"/>
        </w:rPr>
        <w:t>technology for investment and exploitation</w:t>
      </w:r>
      <w:r w:rsidRPr="00995C4A" w:rsidR="009F11B8">
        <w:rPr>
          <w:lang w:val="en-GB"/>
        </w:rPr>
        <w:t xml:space="preserve"> </w:t>
      </w:r>
      <w:r w:rsidRPr="00995C4A" w:rsidR="00CB5667">
        <w:rPr>
          <w:lang w:val="en-GB"/>
        </w:rPr>
        <w:t xml:space="preserve">of this potential </w:t>
      </w:r>
      <w:r w:rsidRPr="00995C4A" w:rsidR="009F11B8">
        <w:rPr>
          <w:lang w:val="en-GB"/>
        </w:rPr>
        <w:t>is al</w:t>
      </w:r>
      <w:r w:rsidRPr="00995C4A" w:rsidR="000E55F8">
        <w:rPr>
          <w:lang w:val="en-GB"/>
        </w:rPr>
        <w:t xml:space="preserve">ready </w:t>
      </w:r>
      <w:r w:rsidRPr="00995C4A" w:rsidR="00D71DAC">
        <w:rPr>
          <w:lang w:val="en-GB"/>
        </w:rPr>
        <w:t>available</w:t>
      </w:r>
      <w:r w:rsidRPr="00995C4A" w:rsidR="000E55F8">
        <w:rPr>
          <w:lang w:val="en-GB"/>
        </w:rPr>
        <w:t>, and upfront costs of exploit</w:t>
      </w:r>
      <w:r w:rsidRPr="00995C4A" w:rsidR="00AA3453">
        <w:rPr>
          <w:lang w:val="en-GB"/>
        </w:rPr>
        <w:t xml:space="preserve">ation are </w:t>
      </w:r>
      <w:r w:rsidRPr="00995C4A" w:rsidR="00BF0F7A">
        <w:rPr>
          <w:lang w:val="en-GB"/>
        </w:rPr>
        <w:t>affordable</w:t>
      </w:r>
      <w:r w:rsidRPr="00995C4A" w:rsidR="006D5398">
        <w:rPr>
          <w:lang w:val="en-GB"/>
        </w:rPr>
        <w:t>;</w:t>
      </w:r>
    </w:p>
    <w:p w:rsidRPr="00995C4A" w:rsidR="00F57DD0" w:rsidRDefault="00F57DD0" w14:paraId="458C2357" w14:textId="77777777">
      <w:pPr>
        <w:rPr>
          <w:lang w:val="en-GB"/>
        </w:rPr>
      </w:pPr>
    </w:p>
    <w:p w:rsidRPr="005E5AD0" w:rsidR="00C44DF2" w:rsidP="007B0E1C" w:rsidRDefault="00105F07" w14:paraId="2C34992C" w14:textId="77A4B304">
      <w:pPr>
        <w:pStyle w:val="Heading1"/>
        <w:numPr>
          <w:ilvl w:val="0"/>
          <w:numId w:val="1"/>
        </w:numPr>
        <w:pBdr>
          <w:top w:val="nil"/>
          <w:left w:val="nil"/>
          <w:bottom w:val="nil"/>
          <w:right w:val="nil"/>
          <w:between w:val="nil"/>
        </w:pBdr>
        <w:ind w:left="567" w:hanging="567"/>
      </w:pPr>
      <w:r w:rsidRPr="005E5AD0">
        <w:t xml:space="preserve">requests further financial assistance </w:t>
      </w:r>
      <w:r w:rsidRPr="005E5AD0" w:rsidR="004006D9">
        <w:t>and suppor</w:t>
      </w:r>
      <w:r w:rsidRPr="005E5AD0">
        <w:t>t</w:t>
      </w:r>
      <w:r w:rsidRPr="005E5AD0" w:rsidR="004006D9">
        <w:t xml:space="preserve"> </w:t>
      </w:r>
      <w:r w:rsidRPr="005E5AD0" w:rsidR="007F0F32">
        <w:t xml:space="preserve">in developing the appropriate </w:t>
      </w:r>
      <w:r w:rsidRPr="005E5AD0" w:rsidR="004006D9">
        <w:t>capacit</w:t>
      </w:r>
      <w:r w:rsidRPr="005E5AD0" w:rsidR="007F0F32">
        <w:t>y</w:t>
      </w:r>
      <w:r w:rsidRPr="005E5AD0" w:rsidR="004006D9">
        <w:t xml:space="preserve"> to </w:t>
      </w:r>
      <w:r w:rsidRPr="005E5AD0" w:rsidR="00D71DAC">
        <w:t xml:space="preserve">tap into </w:t>
      </w:r>
      <w:r w:rsidRPr="005E5AD0" w:rsidR="004006D9">
        <w:t xml:space="preserve">the potential of local geothermal energy production. </w:t>
      </w:r>
      <w:r w:rsidRPr="007B0E1C" w:rsidR="00B40B8D">
        <w:rPr>
          <w:lang w:val="en-GB"/>
        </w:rPr>
        <w:t>Initial costs of feasibility studies, analysis of specific locations for projects and test drillings can be too high for municipalities and regions to examine, thus hindering the instigation of geothermal energy projects. For such cases, financial mechanisms such as government loan guarantee schemes to support publicly owned companies can be a beneficial tool, to promote local geothermal energy and ease the financial barriers faced by local and regional authorities in the earliest stages of project development.</w:t>
      </w:r>
      <w:r w:rsidRPr="005E5AD0" w:rsidR="00B40B8D">
        <w:t xml:space="preserve"> </w:t>
      </w:r>
      <w:r w:rsidRPr="005E5AD0" w:rsidR="004006D9">
        <w:t xml:space="preserve">Existing legislation </w:t>
      </w:r>
      <w:r w:rsidRPr="005E5AD0" w:rsidR="009567EB">
        <w:t xml:space="preserve">on this </w:t>
      </w:r>
      <w:r w:rsidRPr="005E5AD0" w:rsidR="00631EA3">
        <w:t xml:space="preserve">subject </w:t>
      </w:r>
      <w:r w:rsidRPr="005E5AD0" w:rsidR="004006D9">
        <w:t xml:space="preserve">needs to be fit for implementation and </w:t>
      </w:r>
      <w:r w:rsidRPr="005E5AD0" w:rsidR="00D80F9D">
        <w:t>support the just transition</w:t>
      </w:r>
      <w:r w:rsidRPr="005E5AD0" w:rsidR="00FF124F">
        <w:t>.</w:t>
      </w:r>
    </w:p>
    <w:p w:rsidRPr="00995C4A" w:rsidR="00C44DF2" w:rsidRDefault="00C44DF2" w14:paraId="78E4FB48" w14:textId="77777777">
      <w:pPr>
        <w:tabs>
          <w:tab w:val="left" w:pos="480"/>
        </w:tabs>
        <w:rPr>
          <w:lang w:val="en-GB"/>
        </w:rPr>
      </w:pPr>
    </w:p>
    <w:p w:rsidRPr="00995C4A" w:rsidR="00C44DF2" w:rsidRDefault="004006D9" w14:paraId="0388F23F" w14:textId="77777777">
      <w:pPr>
        <w:keepNext/>
        <w:keepLines/>
        <w:rPr>
          <w:i/>
          <w:lang w:val="en-GB"/>
        </w:rPr>
      </w:pPr>
      <w:r w:rsidRPr="00995C4A">
        <w:rPr>
          <w:i/>
          <w:lang w:val="en-GB"/>
        </w:rPr>
        <w:t>Geothermal energy is strategically relevant in the energy mix of LRAs</w:t>
      </w:r>
    </w:p>
    <w:p w:rsidRPr="00995C4A" w:rsidR="00C44DF2" w:rsidRDefault="00C44DF2" w14:paraId="37C1FC61" w14:textId="77777777">
      <w:pPr>
        <w:keepNext/>
        <w:keepLines/>
        <w:rPr>
          <w:lang w:val="en-GB"/>
        </w:rPr>
      </w:pPr>
    </w:p>
    <w:p w:rsidRPr="00995C4A" w:rsidR="00C44DF2" w:rsidP="007B0E1C" w:rsidRDefault="00263885" w14:paraId="27FBF67F" w14:textId="77777777">
      <w:pPr>
        <w:pStyle w:val="Heading1"/>
        <w:numPr>
          <w:ilvl w:val="0"/>
          <w:numId w:val="1"/>
        </w:numPr>
        <w:pBdr>
          <w:top w:val="nil"/>
          <w:left w:val="nil"/>
          <w:bottom w:val="nil"/>
          <w:right w:val="nil"/>
          <w:between w:val="nil"/>
        </w:pBdr>
        <w:ind w:left="567" w:hanging="567"/>
        <w:rPr>
          <w:lang w:val="en-GB"/>
        </w:rPr>
      </w:pPr>
      <w:r w:rsidRPr="00995C4A">
        <w:rPr>
          <w:lang w:val="en-GB"/>
        </w:rPr>
        <w:t>recogni</w:t>
      </w:r>
      <w:r w:rsidRPr="00995C4A" w:rsidR="002403ED">
        <w:rPr>
          <w:lang w:val="en-GB"/>
        </w:rPr>
        <w:t>s</w:t>
      </w:r>
      <w:r w:rsidRPr="00995C4A">
        <w:rPr>
          <w:lang w:val="en-GB"/>
        </w:rPr>
        <w:t>es that g</w:t>
      </w:r>
      <w:r w:rsidRPr="00995C4A" w:rsidR="004006D9">
        <w:rPr>
          <w:lang w:val="en-GB"/>
        </w:rPr>
        <w:t>eothermal energy production provides for dispatchable renewable heating, cooling and electricity generation;</w:t>
      </w:r>
    </w:p>
    <w:p w:rsidRPr="00995C4A" w:rsidR="00C44DF2" w:rsidRDefault="00C44DF2" w14:paraId="082C3723" w14:textId="77777777">
      <w:pPr>
        <w:rPr>
          <w:lang w:val="en-GB"/>
        </w:rPr>
      </w:pPr>
    </w:p>
    <w:p w:rsidRPr="00995C4A" w:rsidR="00C44DF2" w:rsidP="007B0E1C" w:rsidRDefault="00587A10" w14:paraId="234BFAC1" w14:textId="77777777">
      <w:pPr>
        <w:pStyle w:val="Heading1"/>
        <w:numPr>
          <w:ilvl w:val="0"/>
          <w:numId w:val="1"/>
        </w:numPr>
        <w:pBdr>
          <w:top w:val="nil"/>
          <w:left w:val="nil"/>
          <w:bottom w:val="nil"/>
          <w:right w:val="nil"/>
          <w:between w:val="nil"/>
        </w:pBdr>
        <w:ind w:left="567" w:hanging="567"/>
        <w:rPr>
          <w:lang w:val="en-GB"/>
        </w:rPr>
      </w:pPr>
      <w:r w:rsidRPr="00995C4A">
        <w:rPr>
          <w:lang w:val="en-GB"/>
        </w:rPr>
        <w:t>notes that</w:t>
      </w:r>
      <w:r w:rsidRPr="00995C4A" w:rsidR="004006D9">
        <w:rPr>
          <w:lang w:val="en-GB"/>
        </w:rPr>
        <w:t xml:space="preserve"> the </w:t>
      </w:r>
      <w:r w:rsidRPr="00995C4A" w:rsidR="00AB0ED3">
        <w:rPr>
          <w:lang w:val="en-GB"/>
        </w:rPr>
        <w:t>current geopolitical context demonstrates and continues to reaffirm the importance of</w:t>
      </w:r>
      <w:r w:rsidRPr="00995C4A" w:rsidR="00B72623">
        <w:rPr>
          <w:lang w:val="en-GB"/>
        </w:rPr>
        <w:t xml:space="preserve"> </w:t>
      </w:r>
      <w:r w:rsidRPr="00995C4A" w:rsidR="004006D9">
        <w:rPr>
          <w:lang w:val="en-GB"/>
        </w:rPr>
        <w:t>place-based renewable energy resources such as geothermal energy;</w:t>
      </w:r>
    </w:p>
    <w:p w:rsidRPr="00995C4A" w:rsidR="00C44DF2" w:rsidRDefault="00C44DF2" w14:paraId="34DF8B11" w14:textId="77777777">
      <w:pPr>
        <w:rPr>
          <w:lang w:val="en-GB"/>
        </w:rPr>
      </w:pPr>
    </w:p>
    <w:p w:rsidRPr="00995C4A" w:rsidR="00C44DF2" w:rsidP="007B0E1C" w:rsidRDefault="00587A10" w14:paraId="7EE6D38E" w14:textId="77777777">
      <w:pPr>
        <w:pStyle w:val="Heading1"/>
        <w:numPr>
          <w:ilvl w:val="0"/>
          <w:numId w:val="1"/>
        </w:numPr>
        <w:pBdr>
          <w:top w:val="nil"/>
          <w:left w:val="nil"/>
          <w:bottom w:val="nil"/>
          <w:right w:val="nil"/>
          <w:between w:val="nil"/>
        </w:pBdr>
        <w:ind w:left="567" w:hanging="567"/>
        <w:rPr>
          <w:lang w:val="en-GB"/>
        </w:rPr>
      </w:pPr>
      <w:r w:rsidRPr="00995C4A">
        <w:rPr>
          <w:lang w:val="en-GB"/>
        </w:rPr>
        <w:t>refers to the</w:t>
      </w:r>
      <w:r w:rsidRPr="00995C4A" w:rsidR="004006D9">
        <w:rPr>
          <w:lang w:val="en-GB"/>
        </w:rPr>
        <w:t xml:space="preserve"> need to identify </w:t>
      </w:r>
      <w:r w:rsidRPr="00995C4A" w:rsidR="00A1267B">
        <w:rPr>
          <w:lang w:val="en-GB"/>
        </w:rPr>
        <w:t xml:space="preserve">best practices </w:t>
      </w:r>
      <w:r w:rsidRPr="00995C4A" w:rsidR="00BB7E25">
        <w:rPr>
          <w:lang w:val="en-GB"/>
        </w:rPr>
        <w:t>in</w:t>
      </w:r>
      <w:r w:rsidRPr="00995C4A" w:rsidR="00A1267B">
        <w:rPr>
          <w:lang w:val="en-GB"/>
        </w:rPr>
        <w:t xml:space="preserve"> </w:t>
      </w:r>
      <w:r w:rsidRPr="00995C4A" w:rsidR="004006D9">
        <w:rPr>
          <w:lang w:val="en-GB"/>
        </w:rPr>
        <w:t xml:space="preserve">regulations and business models </w:t>
      </w:r>
      <w:r w:rsidRPr="00995C4A" w:rsidR="007E21E1">
        <w:rPr>
          <w:lang w:val="en-GB"/>
        </w:rPr>
        <w:t xml:space="preserve">for different circumstances and applications of geothermal energy, </w:t>
      </w:r>
      <w:r w:rsidRPr="00995C4A" w:rsidR="004006D9">
        <w:rPr>
          <w:lang w:val="en-GB"/>
        </w:rPr>
        <w:t xml:space="preserve">to support geothermal investments and grid </w:t>
      </w:r>
      <w:r w:rsidRPr="00995C4A" w:rsidR="00EC7845">
        <w:rPr>
          <w:lang w:val="en-GB"/>
        </w:rPr>
        <w:t xml:space="preserve">(pipeline) </w:t>
      </w:r>
      <w:r w:rsidRPr="00995C4A" w:rsidR="004006D9">
        <w:rPr>
          <w:lang w:val="en-GB"/>
        </w:rPr>
        <w:t xml:space="preserve">system </w:t>
      </w:r>
      <w:r w:rsidRPr="00995C4A" w:rsidR="006B11AE">
        <w:rPr>
          <w:lang w:val="en-GB"/>
        </w:rPr>
        <w:t>development</w:t>
      </w:r>
      <w:r w:rsidRPr="00995C4A" w:rsidR="00452B8B">
        <w:rPr>
          <w:lang w:val="en-GB"/>
        </w:rPr>
        <w:t>,</w:t>
      </w:r>
      <w:r w:rsidRPr="00995C4A" w:rsidR="006B11AE">
        <w:rPr>
          <w:lang w:val="en-GB"/>
        </w:rPr>
        <w:t xml:space="preserve"> </w:t>
      </w:r>
      <w:r w:rsidRPr="00995C4A" w:rsidR="004006D9">
        <w:rPr>
          <w:lang w:val="en-GB"/>
        </w:rPr>
        <w:t xml:space="preserve">operation </w:t>
      </w:r>
      <w:r w:rsidRPr="00995C4A" w:rsidR="00452B8B">
        <w:rPr>
          <w:lang w:val="en-GB"/>
        </w:rPr>
        <w:t xml:space="preserve">and maintenance </w:t>
      </w:r>
      <w:r w:rsidRPr="00995C4A" w:rsidR="004006D9">
        <w:rPr>
          <w:lang w:val="en-GB"/>
        </w:rPr>
        <w:t xml:space="preserve">at </w:t>
      </w:r>
      <w:r w:rsidRPr="00995C4A" w:rsidR="00146817">
        <w:rPr>
          <w:lang w:val="en-GB"/>
        </w:rPr>
        <w:t>local level</w:t>
      </w:r>
      <w:r w:rsidRPr="00995C4A" w:rsidR="00AF7802">
        <w:rPr>
          <w:lang w:val="en-GB"/>
        </w:rPr>
        <w:t xml:space="preserve">. </w:t>
      </w:r>
      <w:r w:rsidRPr="00995C4A" w:rsidR="00E97208">
        <w:rPr>
          <w:lang w:val="en-GB"/>
        </w:rPr>
        <w:t>In this context g</w:t>
      </w:r>
      <w:r w:rsidRPr="00995C4A" w:rsidR="00AF7802">
        <w:rPr>
          <w:lang w:val="en-GB"/>
        </w:rPr>
        <w:t>eothermal energy could provide competitive</w:t>
      </w:r>
      <w:r w:rsidRPr="00995C4A" w:rsidR="00A03661">
        <w:rPr>
          <w:lang w:val="en-GB"/>
        </w:rPr>
        <w:t xml:space="preserve"> advantage</w:t>
      </w:r>
      <w:r w:rsidRPr="00995C4A" w:rsidR="004B7A6A">
        <w:rPr>
          <w:lang w:val="en-GB"/>
        </w:rPr>
        <w:t>s</w:t>
      </w:r>
      <w:r w:rsidRPr="00995C4A" w:rsidR="00A03661">
        <w:rPr>
          <w:lang w:val="en-GB"/>
        </w:rPr>
        <w:t xml:space="preserve"> </w:t>
      </w:r>
      <w:r w:rsidRPr="00995C4A" w:rsidR="00541868">
        <w:rPr>
          <w:lang w:val="en-GB"/>
        </w:rPr>
        <w:t xml:space="preserve">for </w:t>
      </w:r>
      <w:r w:rsidRPr="00995C4A" w:rsidR="001F1EF0">
        <w:rPr>
          <w:lang w:val="en-GB"/>
        </w:rPr>
        <w:t xml:space="preserve">LRAs when it comes </w:t>
      </w:r>
      <w:r w:rsidRPr="00995C4A" w:rsidR="004B7A6A">
        <w:rPr>
          <w:lang w:val="en-GB"/>
        </w:rPr>
        <w:t xml:space="preserve">to </w:t>
      </w:r>
      <w:r w:rsidRPr="00995C4A" w:rsidR="001F1EF0">
        <w:rPr>
          <w:lang w:val="en-GB"/>
        </w:rPr>
        <w:t xml:space="preserve">defining </w:t>
      </w:r>
      <w:r w:rsidRPr="00995C4A" w:rsidR="000A301B">
        <w:rPr>
          <w:lang w:val="en-GB"/>
        </w:rPr>
        <w:t>their own energy mix</w:t>
      </w:r>
      <w:r w:rsidRPr="00995C4A" w:rsidR="004006D9">
        <w:rPr>
          <w:lang w:val="en-GB"/>
        </w:rPr>
        <w:t>;</w:t>
      </w:r>
    </w:p>
    <w:p w:rsidRPr="00995C4A" w:rsidR="00C44DF2" w:rsidRDefault="00C44DF2" w14:paraId="784EDA41" w14:textId="77777777">
      <w:pPr>
        <w:rPr>
          <w:lang w:val="en-GB"/>
        </w:rPr>
      </w:pPr>
    </w:p>
    <w:p w:rsidRPr="00995C4A" w:rsidR="00C44DF2" w:rsidP="007B0E1C" w:rsidRDefault="0014228A" w14:paraId="0417F092" w14:textId="7AFA6FC4">
      <w:pPr>
        <w:pStyle w:val="Heading1"/>
        <w:numPr>
          <w:ilvl w:val="0"/>
          <w:numId w:val="1"/>
        </w:numPr>
        <w:pBdr>
          <w:top w:val="nil"/>
          <w:left w:val="nil"/>
          <w:bottom w:val="nil"/>
          <w:right w:val="nil"/>
          <w:between w:val="nil"/>
        </w:pBdr>
        <w:ind w:left="567" w:hanging="567"/>
        <w:rPr>
          <w:lang w:val="en-GB"/>
        </w:rPr>
      </w:pPr>
      <w:r w:rsidRPr="00995C4A">
        <w:rPr>
          <w:lang w:val="en-GB"/>
        </w:rPr>
        <w:t xml:space="preserve">underlines that </w:t>
      </w:r>
      <w:r w:rsidRPr="00995C4A" w:rsidR="004006D9">
        <w:rPr>
          <w:lang w:val="en-GB"/>
        </w:rPr>
        <w:t xml:space="preserve">delivering concrete </w:t>
      </w:r>
      <w:r w:rsidRPr="00995C4A" w:rsidR="001E7D54">
        <w:rPr>
          <w:lang w:val="en-GB"/>
        </w:rPr>
        <w:t xml:space="preserve">recommendations </w:t>
      </w:r>
      <w:r w:rsidRPr="00995C4A" w:rsidR="004006D9">
        <w:rPr>
          <w:lang w:val="en-GB"/>
        </w:rPr>
        <w:t>for ensuring the smooth implementation of REPowerEU</w:t>
      </w:r>
      <w:r w:rsidRPr="00995C4A" w:rsidR="00E167C7">
        <w:rPr>
          <w:lang w:val="en-GB"/>
        </w:rPr>
        <w:t xml:space="preserve"> is necessary</w:t>
      </w:r>
      <w:r w:rsidRPr="00995C4A" w:rsidR="004006D9">
        <w:rPr>
          <w:lang w:val="en-GB"/>
        </w:rPr>
        <w:t xml:space="preserve">. Such </w:t>
      </w:r>
      <w:r w:rsidRPr="00995C4A" w:rsidR="00150178">
        <w:rPr>
          <w:lang w:val="en-GB"/>
        </w:rPr>
        <w:t xml:space="preserve">advice </w:t>
      </w:r>
      <w:r w:rsidRPr="00995C4A" w:rsidR="004B7A6A">
        <w:rPr>
          <w:lang w:val="en-GB"/>
        </w:rPr>
        <w:t xml:space="preserve">can also </w:t>
      </w:r>
      <w:r w:rsidRPr="00995C4A" w:rsidR="00143C75">
        <w:rPr>
          <w:lang w:val="en-GB"/>
        </w:rPr>
        <w:t>help speed</w:t>
      </w:r>
      <w:r w:rsidRPr="00995C4A" w:rsidR="004006D9">
        <w:rPr>
          <w:lang w:val="en-GB"/>
        </w:rPr>
        <w:t xml:space="preserve"> up the energy transition, with a view to accelerating the transition of LRAs to </w:t>
      </w:r>
      <w:r w:rsidRPr="00995C4A" w:rsidR="00B40B8D">
        <w:rPr>
          <w:lang w:val="en-GB"/>
        </w:rPr>
        <w:t xml:space="preserve">renewable, </w:t>
      </w:r>
      <w:r w:rsidRPr="00995C4A" w:rsidR="004006D9">
        <w:rPr>
          <w:lang w:val="en-GB"/>
        </w:rPr>
        <w:t>secure and affordable energy by wider uptake of the use of geothermal energy;</w:t>
      </w:r>
    </w:p>
    <w:p w:rsidRPr="00995C4A" w:rsidR="00C44DF2" w:rsidRDefault="00C44DF2" w14:paraId="2574B562" w14:textId="77777777">
      <w:pPr>
        <w:rPr>
          <w:lang w:val="en-GB"/>
        </w:rPr>
      </w:pPr>
    </w:p>
    <w:p w:rsidRPr="00995C4A" w:rsidR="00C44DF2" w:rsidP="007B0E1C" w:rsidRDefault="00EE675D" w14:paraId="095F27C1" w14:textId="77777777">
      <w:pPr>
        <w:pStyle w:val="Heading1"/>
        <w:numPr>
          <w:ilvl w:val="0"/>
          <w:numId w:val="1"/>
        </w:numPr>
        <w:pBdr>
          <w:top w:val="nil"/>
          <w:left w:val="nil"/>
          <w:bottom w:val="nil"/>
          <w:right w:val="nil"/>
          <w:between w:val="nil"/>
        </w:pBdr>
        <w:ind w:left="567" w:hanging="567"/>
        <w:rPr>
          <w:color w:val="000000"/>
          <w:highlight w:val="white"/>
          <w:lang w:val="en-GB"/>
        </w:rPr>
      </w:pPr>
      <w:r w:rsidRPr="00995C4A">
        <w:rPr>
          <w:color w:val="000000"/>
          <w:highlight w:val="white"/>
          <w:lang w:val="en-GB"/>
        </w:rPr>
        <w:t>h</w:t>
      </w:r>
      <w:r w:rsidRPr="00995C4A" w:rsidR="00587A10">
        <w:rPr>
          <w:color w:val="000000"/>
          <w:highlight w:val="white"/>
          <w:lang w:val="en-GB"/>
        </w:rPr>
        <w:t xml:space="preserve">ighlights that at </w:t>
      </w:r>
      <w:r w:rsidRPr="00995C4A" w:rsidR="004006D9">
        <w:rPr>
          <w:color w:val="000000"/>
          <w:highlight w:val="white"/>
          <w:lang w:val="en-GB"/>
        </w:rPr>
        <w:t>local and regional level, energy communities represent a chance to establish a sustainable, decentralised and democratic energy transition with the active participation of LRAs. Such energy communities should be bottom-up, open and democratic organisational forms with voluntary membership. Based on the amended Renewable Energy Directive (RED</w:t>
      </w:r>
      <w:r w:rsidRPr="00995C4A" w:rsidR="00D923AB">
        <w:rPr>
          <w:color w:val="000000"/>
          <w:highlight w:val="white"/>
          <w:lang w:val="en-GB"/>
        </w:rPr>
        <w:t> </w:t>
      </w:r>
      <w:r w:rsidRPr="00995C4A" w:rsidR="004006D9">
        <w:rPr>
          <w:color w:val="000000"/>
          <w:highlight w:val="white"/>
          <w:lang w:val="en-GB"/>
        </w:rPr>
        <w:t>II), renewable energy communities could exploit locally available renewable resources (</w:t>
      </w:r>
      <w:r w:rsidRPr="00995C4A" w:rsidR="008120A0">
        <w:rPr>
          <w:color w:val="000000"/>
          <w:highlight w:val="white"/>
          <w:lang w:val="en-GB"/>
        </w:rPr>
        <w:t xml:space="preserve">including </w:t>
      </w:r>
      <w:r w:rsidRPr="00995C4A" w:rsidR="004006D9">
        <w:rPr>
          <w:color w:val="000000"/>
          <w:highlight w:val="white"/>
          <w:lang w:val="en-GB"/>
        </w:rPr>
        <w:t>geothermal energy) in the form of the most appropriate legal entity (</w:t>
      </w:r>
      <w:r w:rsidRPr="00995C4A" w:rsidR="00CD7F3B">
        <w:rPr>
          <w:color w:val="000000"/>
          <w:highlight w:val="white"/>
          <w:lang w:val="en-GB"/>
        </w:rPr>
        <w:t>e.g. municipal</w:t>
      </w:r>
      <w:r w:rsidRPr="00995C4A" w:rsidR="00DA0A72">
        <w:rPr>
          <w:color w:val="000000"/>
          <w:highlight w:val="white"/>
          <w:lang w:val="en-GB"/>
        </w:rPr>
        <w:t>l</w:t>
      </w:r>
      <w:r w:rsidRPr="00995C4A" w:rsidR="00CD7F3B">
        <w:rPr>
          <w:color w:val="000000"/>
          <w:highlight w:val="white"/>
          <w:lang w:val="en-GB"/>
        </w:rPr>
        <w:t xml:space="preserve">y-owned, </w:t>
      </w:r>
      <w:r w:rsidRPr="00995C4A" w:rsidR="004006D9">
        <w:rPr>
          <w:color w:val="000000"/>
          <w:highlight w:val="white"/>
          <w:lang w:val="en-GB"/>
        </w:rPr>
        <w:t>cooperatives, no</w:t>
      </w:r>
      <w:r w:rsidRPr="00995C4A" w:rsidR="00CD7F3B">
        <w:rPr>
          <w:color w:val="000000"/>
          <w:highlight w:val="white"/>
          <w:lang w:val="en-GB"/>
        </w:rPr>
        <w:t>t-for-</w:t>
      </w:r>
      <w:r w:rsidRPr="00995C4A" w:rsidR="004006D9">
        <w:rPr>
          <w:color w:val="000000"/>
          <w:highlight w:val="white"/>
          <w:lang w:val="en-GB"/>
        </w:rPr>
        <w:t>profit</w:t>
      </w:r>
      <w:r w:rsidRPr="00995C4A" w:rsidR="00CD7F3B">
        <w:rPr>
          <w:color w:val="000000"/>
          <w:highlight w:val="white"/>
          <w:lang w:val="en-GB"/>
        </w:rPr>
        <w:t>,</w:t>
      </w:r>
      <w:r w:rsidRPr="00995C4A" w:rsidR="004006D9">
        <w:rPr>
          <w:color w:val="000000"/>
          <w:highlight w:val="white"/>
          <w:lang w:val="en-GB"/>
        </w:rPr>
        <w:t xml:space="preserve"> </w:t>
      </w:r>
      <w:r w:rsidRPr="00995C4A" w:rsidR="00CD7F3B">
        <w:rPr>
          <w:color w:val="000000"/>
          <w:highlight w:val="white"/>
          <w:lang w:val="en-GB"/>
        </w:rPr>
        <w:t>limited liability companies, special purpose companies</w:t>
      </w:r>
      <w:r w:rsidRPr="00995C4A" w:rsidR="004006D9">
        <w:rPr>
          <w:color w:val="000000"/>
          <w:highlight w:val="white"/>
          <w:lang w:val="en-GB"/>
        </w:rPr>
        <w:t>) that best fits the local energy needs and context;</w:t>
      </w:r>
    </w:p>
    <w:p w:rsidRPr="00995C4A" w:rsidR="00C44DF2" w:rsidRDefault="00C44DF2" w14:paraId="2284BE9A" w14:textId="77777777">
      <w:pPr>
        <w:rPr>
          <w:lang w:val="en-GB"/>
        </w:rPr>
      </w:pPr>
    </w:p>
    <w:p w:rsidRPr="00995C4A" w:rsidR="007E21E1" w:rsidP="007B0E1C" w:rsidRDefault="007E21E1" w14:paraId="5990E938" w14:textId="77777777">
      <w:pPr>
        <w:pStyle w:val="Heading1"/>
        <w:numPr>
          <w:ilvl w:val="0"/>
          <w:numId w:val="1"/>
        </w:numPr>
        <w:pBdr>
          <w:top w:val="nil"/>
          <w:left w:val="nil"/>
          <w:bottom w:val="nil"/>
          <w:right w:val="nil"/>
          <w:between w:val="nil"/>
        </w:pBdr>
        <w:ind w:left="567" w:hanging="567"/>
        <w:rPr>
          <w:color w:val="000000"/>
          <w:lang w:val="en-GB"/>
        </w:rPr>
      </w:pPr>
      <w:r w:rsidRPr="00995C4A">
        <w:rPr>
          <w:color w:val="000000"/>
          <w:lang w:val="en-GB"/>
        </w:rPr>
        <w:t>emphasises the crucial role of citizens participation in decentralising energy production, fostering active involvement to bolster the green transition. This active engagement does not only strengthen the connection between production and consumption, but also promotes the development of a local value chain;</w:t>
      </w:r>
    </w:p>
    <w:p w:rsidRPr="00995C4A" w:rsidR="007E21E1" w:rsidRDefault="007E21E1" w14:paraId="274FE9EE" w14:textId="77777777">
      <w:pPr>
        <w:rPr>
          <w:lang w:val="en-GB"/>
        </w:rPr>
      </w:pPr>
    </w:p>
    <w:p w:rsidRPr="00995C4A" w:rsidR="00CA29F5" w:rsidP="007B0E1C" w:rsidRDefault="00B4142A" w14:paraId="3FCE081B" w14:textId="77777777">
      <w:pPr>
        <w:pStyle w:val="Heading1"/>
        <w:numPr>
          <w:ilvl w:val="0"/>
          <w:numId w:val="1"/>
        </w:numPr>
        <w:pBdr>
          <w:top w:val="nil"/>
          <w:left w:val="nil"/>
          <w:bottom w:val="nil"/>
          <w:right w:val="nil"/>
          <w:between w:val="nil"/>
        </w:pBdr>
        <w:ind w:left="567" w:hanging="567"/>
        <w:rPr>
          <w:color w:val="000000"/>
          <w:lang w:val="en-GB"/>
        </w:rPr>
      </w:pPr>
      <w:r w:rsidRPr="00995C4A">
        <w:rPr>
          <w:color w:val="000000"/>
          <w:highlight w:val="white"/>
          <w:lang w:val="en-GB"/>
        </w:rPr>
        <w:t>e</w:t>
      </w:r>
      <w:r w:rsidRPr="00995C4A" w:rsidR="004006D9">
        <w:rPr>
          <w:color w:val="000000"/>
          <w:highlight w:val="white"/>
          <w:lang w:val="en-GB"/>
        </w:rPr>
        <w:t>ncourag</w:t>
      </w:r>
      <w:r w:rsidRPr="00995C4A" w:rsidR="00587A10">
        <w:rPr>
          <w:color w:val="000000"/>
          <w:highlight w:val="white"/>
          <w:lang w:val="en-GB"/>
        </w:rPr>
        <w:t>es</w:t>
      </w:r>
      <w:r w:rsidRPr="00995C4A" w:rsidR="004006D9">
        <w:rPr>
          <w:color w:val="000000"/>
          <w:highlight w:val="white"/>
          <w:lang w:val="en-GB"/>
        </w:rPr>
        <w:t xml:space="preserve"> the establishment of geothermal energy-based heating</w:t>
      </w:r>
      <w:r w:rsidRPr="00995C4A" w:rsidR="001D3C04">
        <w:rPr>
          <w:color w:val="000000"/>
          <w:highlight w:val="white"/>
          <w:lang w:val="en-GB"/>
        </w:rPr>
        <w:t xml:space="preserve">, </w:t>
      </w:r>
      <w:r w:rsidRPr="00995C4A" w:rsidR="00EC3211">
        <w:rPr>
          <w:color w:val="000000"/>
          <w:highlight w:val="white"/>
          <w:lang w:val="en-GB"/>
        </w:rPr>
        <w:t>cooling</w:t>
      </w:r>
      <w:r w:rsidRPr="00995C4A" w:rsidR="004006D9">
        <w:rPr>
          <w:color w:val="000000"/>
          <w:highlight w:val="white"/>
          <w:lang w:val="en-GB"/>
        </w:rPr>
        <w:t xml:space="preserve"> and electricity generation as part of renewable energy communities</w:t>
      </w:r>
      <w:r w:rsidRPr="00995C4A" w:rsidR="00DF42DF">
        <w:rPr>
          <w:color w:val="000000"/>
          <w:highlight w:val="white"/>
          <w:lang w:val="en-GB"/>
        </w:rPr>
        <w:t>.</w:t>
      </w:r>
      <w:r w:rsidRPr="00995C4A" w:rsidR="00DE16DF">
        <w:rPr>
          <w:color w:val="000000"/>
          <w:highlight w:val="white"/>
          <w:lang w:val="en-GB"/>
        </w:rPr>
        <w:t xml:space="preserve"> This</w:t>
      </w:r>
      <w:r w:rsidRPr="00995C4A" w:rsidR="004006D9">
        <w:rPr>
          <w:color w:val="000000"/>
          <w:highlight w:val="white"/>
          <w:lang w:val="en-GB"/>
        </w:rPr>
        <w:t xml:space="preserve"> would also contribute to the wider uptake of smart metering locally. Similarly, it would create public awareness about LRAs as producers and consumers (prosumers) of locally available energy</w:t>
      </w:r>
      <w:r w:rsidRPr="00995C4A" w:rsidR="00CA29F5">
        <w:rPr>
          <w:color w:val="000000"/>
          <w:highlight w:val="white"/>
          <w:lang w:val="en-GB"/>
        </w:rPr>
        <w:t>;</w:t>
      </w:r>
    </w:p>
    <w:p w:rsidRPr="00995C4A" w:rsidR="00AD3DC8" w:rsidRDefault="00AD3DC8" w14:paraId="5E19D9EF" w14:textId="77777777">
      <w:pPr>
        <w:outlineLvl w:val="0"/>
        <w:rPr>
          <w:color w:val="000000"/>
          <w:lang w:val="en-GB"/>
        </w:rPr>
      </w:pPr>
    </w:p>
    <w:p w:rsidRPr="00995C4A" w:rsidR="00B63B47" w:rsidP="007B0E1C" w:rsidRDefault="005A74EC" w14:paraId="20CA95C5" w14:textId="3FD52EF7">
      <w:pPr>
        <w:pStyle w:val="Heading1"/>
        <w:numPr>
          <w:ilvl w:val="0"/>
          <w:numId w:val="1"/>
        </w:numPr>
        <w:pBdr>
          <w:top w:val="nil"/>
          <w:left w:val="nil"/>
          <w:bottom w:val="nil"/>
          <w:right w:val="nil"/>
          <w:between w:val="nil"/>
        </w:pBdr>
        <w:ind w:left="567" w:hanging="567"/>
        <w:rPr>
          <w:color w:val="000000"/>
          <w:lang w:val="en-GB"/>
        </w:rPr>
      </w:pPr>
      <w:r w:rsidRPr="00995C4A">
        <w:rPr>
          <w:color w:val="000000"/>
          <w:lang w:val="en-GB"/>
        </w:rPr>
        <w:t>n</w:t>
      </w:r>
      <w:r w:rsidRPr="00995C4A" w:rsidR="00587A10">
        <w:rPr>
          <w:color w:val="000000"/>
          <w:lang w:val="en-GB"/>
        </w:rPr>
        <w:t>otes that a</w:t>
      </w:r>
      <w:r w:rsidRPr="00995C4A" w:rsidR="00CA29F5">
        <w:rPr>
          <w:color w:val="000000"/>
          <w:lang w:val="en-GB"/>
        </w:rPr>
        <w:t xml:space="preserve">lthough </w:t>
      </w:r>
      <w:r w:rsidRPr="00995C4A" w:rsidR="00DD3F72">
        <w:rPr>
          <w:color w:val="000000"/>
          <w:lang w:val="en-GB"/>
        </w:rPr>
        <w:t>LRAs could</w:t>
      </w:r>
      <w:r w:rsidRPr="00995C4A" w:rsidR="00F27EB1">
        <w:rPr>
          <w:color w:val="000000"/>
          <w:lang w:val="en-GB"/>
        </w:rPr>
        <w:t xml:space="preserve"> act as genuine energy communities </w:t>
      </w:r>
      <w:r w:rsidRPr="00995C4A" w:rsidR="001D3DC1">
        <w:rPr>
          <w:color w:val="000000"/>
          <w:lang w:val="en-GB"/>
        </w:rPr>
        <w:t xml:space="preserve">utilising </w:t>
      </w:r>
      <w:r w:rsidRPr="00995C4A" w:rsidR="00F27EB1">
        <w:rPr>
          <w:color w:val="000000"/>
          <w:lang w:val="en-GB"/>
        </w:rPr>
        <w:t>geothermal energy</w:t>
      </w:r>
      <w:r w:rsidRPr="00995C4A" w:rsidR="00D273DD">
        <w:rPr>
          <w:color w:val="000000"/>
          <w:lang w:val="en-GB"/>
        </w:rPr>
        <w:t xml:space="preserve">, </w:t>
      </w:r>
      <w:r w:rsidRPr="00995C4A" w:rsidR="0048696B">
        <w:rPr>
          <w:color w:val="000000"/>
          <w:lang w:val="en-GB"/>
        </w:rPr>
        <w:t xml:space="preserve">such communities are </w:t>
      </w:r>
      <w:r w:rsidRPr="00995C4A" w:rsidR="00CD7F3B">
        <w:rPr>
          <w:color w:val="000000"/>
          <w:lang w:val="en-GB"/>
        </w:rPr>
        <w:t>long-term activities</w:t>
      </w:r>
      <w:r w:rsidRPr="00995C4A" w:rsidR="0048696B">
        <w:rPr>
          <w:color w:val="000000"/>
          <w:lang w:val="en-GB"/>
        </w:rPr>
        <w:t xml:space="preserve">. </w:t>
      </w:r>
      <w:r w:rsidRPr="00995C4A" w:rsidR="00BF0A16">
        <w:rPr>
          <w:color w:val="000000"/>
          <w:lang w:val="en-GB"/>
        </w:rPr>
        <w:t>Solid business cases are needed to cover the capital expenditure</w:t>
      </w:r>
      <w:r w:rsidRPr="00995C4A" w:rsidR="00886E4D">
        <w:rPr>
          <w:color w:val="000000"/>
          <w:lang w:val="en-GB"/>
        </w:rPr>
        <w:t xml:space="preserve">s in the beginning of the investment. </w:t>
      </w:r>
      <w:r w:rsidRPr="00995C4A" w:rsidR="00407018">
        <w:rPr>
          <w:color w:val="000000"/>
          <w:lang w:val="en-GB"/>
        </w:rPr>
        <w:t>Therefore</w:t>
      </w:r>
      <w:r w:rsidRPr="00995C4A" w:rsidR="00995C4A">
        <w:rPr>
          <w:color w:val="000000"/>
          <w:lang w:val="en-GB"/>
        </w:rPr>
        <w:t>,</w:t>
      </w:r>
      <w:r w:rsidRPr="00995C4A" w:rsidR="00407018">
        <w:rPr>
          <w:color w:val="000000"/>
          <w:lang w:val="en-GB"/>
        </w:rPr>
        <w:t xml:space="preserve"> </w:t>
      </w:r>
      <w:r w:rsidRPr="00995C4A" w:rsidR="006D26EE">
        <w:rPr>
          <w:color w:val="000000"/>
          <w:lang w:val="en-GB"/>
        </w:rPr>
        <w:t>t</w:t>
      </w:r>
      <w:r w:rsidRPr="00995C4A" w:rsidR="004B7A6A">
        <w:rPr>
          <w:color w:val="000000"/>
          <w:lang w:val="en-GB"/>
        </w:rPr>
        <w:t xml:space="preserve">rust </w:t>
      </w:r>
      <w:r w:rsidRPr="00995C4A" w:rsidR="003515A6">
        <w:rPr>
          <w:color w:val="000000"/>
          <w:lang w:val="en-GB"/>
        </w:rPr>
        <w:t>among LRA</w:t>
      </w:r>
      <w:r w:rsidRPr="00995C4A" w:rsidR="004B7A6A">
        <w:rPr>
          <w:color w:val="000000"/>
          <w:lang w:val="en-GB"/>
        </w:rPr>
        <w:t>s</w:t>
      </w:r>
      <w:r w:rsidRPr="00995C4A" w:rsidR="003515A6">
        <w:rPr>
          <w:color w:val="000000"/>
          <w:lang w:val="en-GB"/>
        </w:rPr>
        <w:t>, energy community members</w:t>
      </w:r>
      <w:r w:rsidRPr="00995C4A" w:rsidR="00493160">
        <w:rPr>
          <w:color w:val="000000"/>
          <w:lang w:val="en-GB"/>
        </w:rPr>
        <w:t xml:space="preserve"> and energy service companies </w:t>
      </w:r>
      <w:r w:rsidRPr="00995C4A" w:rsidR="00012A4E">
        <w:rPr>
          <w:color w:val="000000"/>
          <w:lang w:val="en-GB"/>
        </w:rPr>
        <w:t xml:space="preserve">is </w:t>
      </w:r>
      <w:r w:rsidRPr="00995C4A" w:rsidR="00493160">
        <w:rPr>
          <w:color w:val="000000"/>
          <w:lang w:val="en-GB"/>
        </w:rPr>
        <w:t>very important</w:t>
      </w:r>
      <w:r w:rsidRPr="00995C4A" w:rsidR="006A2001">
        <w:rPr>
          <w:color w:val="000000"/>
          <w:lang w:val="en-GB"/>
        </w:rPr>
        <w:t>;</w:t>
      </w:r>
    </w:p>
    <w:p w:rsidRPr="00995C4A" w:rsidR="00B63B47" w:rsidRDefault="00B63B47" w14:paraId="16E06848" w14:textId="77777777">
      <w:pPr>
        <w:rPr>
          <w:lang w:val="en-GB"/>
        </w:rPr>
      </w:pPr>
    </w:p>
    <w:p w:rsidRPr="00995C4A" w:rsidR="00854978" w:rsidP="007B0E1C" w:rsidRDefault="006A2001" w14:paraId="3A0D5119" w14:textId="3EFED249">
      <w:pPr>
        <w:pStyle w:val="Heading1"/>
        <w:numPr>
          <w:ilvl w:val="0"/>
          <w:numId w:val="1"/>
        </w:numPr>
        <w:pBdr>
          <w:top w:val="nil"/>
          <w:left w:val="nil"/>
          <w:bottom w:val="nil"/>
          <w:right w:val="nil"/>
          <w:between w:val="nil"/>
        </w:pBdr>
        <w:ind w:left="567" w:hanging="567"/>
        <w:rPr>
          <w:lang w:val="en-GB"/>
        </w:rPr>
      </w:pPr>
      <w:r w:rsidRPr="00995C4A">
        <w:rPr>
          <w:lang w:val="en-GB"/>
        </w:rPr>
        <w:t>a</w:t>
      </w:r>
      <w:r w:rsidRPr="00995C4A" w:rsidR="00587A10">
        <w:rPr>
          <w:lang w:val="en-GB"/>
        </w:rPr>
        <w:t>cknowledges the contribution of g</w:t>
      </w:r>
      <w:r w:rsidRPr="00995C4A" w:rsidR="00854978">
        <w:rPr>
          <w:lang w:val="en-GB"/>
        </w:rPr>
        <w:t>eoth</w:t>
      </w:r>
      <w:r w:rsidRPr="00995C4A" w:rsidR="00B63B47">
        <w:rPr>
          <w:lang w:val="en-GB"/>
        </w:rPr>
        <w:t>ermal energy to reach</w:t>
      </w:r>
      <w:r w:rsidRPr="00995C4A" w:rsidR="001D3C04">
        <w:rPr>
          <w:lang w:val="en-GB"/>
        </w:rPr>
        <w:t>ing LRAs'</w:t>
      </w:r>
      <w:r w:rsidRPr="00995C4A" w:rsidR="00B63B47">
        <w:rPr>
          <w:lang w:val="en-GB"/>
        </w:rPr>
        <w:t xml:space="preserve"> net zero goals. </w:t>
      </w:r>
      <w:r w:rsidRPr="00995C4A" w:rsidR="00F03578">
        <w:rPr>
          <w:lang w:val="en-GB"/>
        </w:rPr>
        <w:t xml:space="preserve">Practical ways of delivery are </w:t>
      </w:r>
      <w:r w:rsidRPr="00995C4A" w:rsidR="009453C1">
        <w:rPr>
          <w:lang w:val="en-GB"/>
        </w:rPr>
        <w:t>carbon-neutral heating and cooling</w:t>
      </w:r>
      <w:r w:rsidRPr="00995C4A" w:rsidR="001451ED">
        <w:rPr>
          <w:lang w:val="en-GB"/>
        </w:rPr>
        <w:t xml:space="preserve">, </w:t>
      </w:r>
      <w:r w:rsidRPr="00995C4A" w:rsidR="00C549D7">
        <w:rPr>
          <w:lang w:val="en-GB"/>
        </w:rPr>
        <w:t xml:space="preserve">and the </w:t>
      </w:r>
      <w:r w:rsidRPr="00995C4A" w:rsidR="001451ED">
        <w:rPr>
          <w:lang w:val="en-GB"/>
        </w:rPr>
        <w:t xml:space="preserve">stable and reliable baseload power provided by </w:t>
      </w:r>
      <w:r w:rsidRPr="00995C4A" w:rsidR="00170C2B">
        <w:rPr>
          <w:lang w:val="en-GB"/>
        </w:rPr>
        <w:t>geothermal power plants</w:t>
      </w:r>
      <w:r w:rsidRPr="00995C4A" w:rsidR="00C549D7">
        <w:rPr>
          <w:lang w:val="en-GB"/>
        </w:rPr>
        <w:t>. D</w:t>
      </w:r>
      <w:r w:rsidRPr="00995C4A" w:rsidR="00950464">
        <w:rPr>
          <w:lang w:val="en-GB"/>
        </w:rPr>
        <w:t>ecentrali</w:t>
      </w:r>
      <w:r w:rsidRPr="00995C4A" w:rsidR="002403ED">
        <w:rPr>
          <w:lang w:val="en-GB"/>
        </w:rPr>
        <w:t>s</w:t>
      </w:r>
      <w:r w:rsidRPr="00995C4A" w:rsidR="00950464">
        <w:rPr>
          <w:lang w:val="en-GB"/>
        </w:rPr>
        <w:t>ed energy systems</w:t>
      </w:r>
      <w:r w:rsidRPr="00995C4A" w:rsidR="00D66EE2">
        <w:rPr>
          <w:lang w:val="en-GB"/>
        </w:rPr>
        <w:t xml:space="preserve"> of geothermal infrastructures</w:t>
      </w:r>
      <w:r w:rsidRPr="00995C4A" w:rsidR="005232B9">
        <w:rPr>
          <w:lang w:val="en-GB"/>
        </w:rPr>
        <w:t xml:space="preserve"> reduce </w:t>
      </w:r>
      <w:r w:rsidRPr="00995C4A" w:rsidR="00B51F1A">
        <w:rPr>
          <w:lang w:val="en-GB"/>
        </w:rPr>
        <w:t>transmission losses</w:t>
      </w:r>
      <w:r w:rsidRPr="00995C4A" w:rsidR="00294E1B">
        <w:rPr>
          <w:lang w:val="en-GB"/>
        </w:rPr>
        <w:t xml:space="preserve"> and</w:t>
      </w:r>
      <w:r w:rsidRPr="00995C4A" w:rsidR="00D7550D">
        <w:rPr>
          <w:lang w:val="en-GB"/>
        </w:rPr>
        <w:t xml:space="preserve"> </w:t>
      </w:r>
      <w:r w:rsidRPr="00995C4A" w:rsidR="00B51F1A">
        <w:rPr>
          <w:lang w:val="en-GB"/>
        </w:rPr>
        <w:t xml:space="preserve">improve local </w:t>
      </w:r>
      <w:r w:rsidRPr="00995C4A" w:rsidR="00D7550D">
        <w:rPr>
          <w:lang w:val="en-GB"/>
        </w:rPr>
        <w:t xml:space="preserve">air quality </w:t>
      </w:r>
      <w:r w:rsidRPr="00995C4A" w:rsidR="000D1C7C">
        <w:rPr>
          <w:lang w:val="en-GB"/>
        </w:rPr>
        <w:t xml:space="preserve">by not </w:t>
      </w:r>
      <w:r w:rsidRPr="00995C4A" w:rsidR="00CD3DE9">
        <w:rPr>
          <w:lang w:val="en-GB"/>
        </w:rPr>
        <w:t>relying on burning fossil fuels for heating</w:t>
      </w:r>
      <w:r w:rsidRPr="00995C4A" w:rsidR="00294E1B">
        <w:rPr>
          <w:lang w:val="en-GB"/>
        </w:rPr>
        <w:t xml:space="preserve"> and </w:t>
      </w:r>
      <w:r w:rsidRPr="00995C4A" w:rsidR="005736A4">
        <w:rPr>
          <w:lang w:val="en-GB"/>
        </w:rPr>
        <w:t>cooling</w:t>
      </w:r>
      <w:r w:rsidRPr="00995C4A" w:rsidR="00294E1B">
        <w:rPr>
          <w:lang w:val="en-GB"/>
        </w:rPr>
        <w:t>,</w:t>
      </w:r>
      <w:r w:rsidRPr="00995C4A" w:rsidR="00CD3DE9">
        <w:rPr>
          <w:lang w:val="en-GB"/>
        </w:rPr>
        <w:t xml:space="preserve"> </w:t>
      </w:r>
      <w:r w:rsidRPr="00995C4A" w:rsidR="00294E1B">
        <w:rPr>
          <w:lang w:val="en-GB"/>
        </w:rPr>
        <w:t>which</w:t>
      </w:r>
      <w:r w:rsidRPr="00995C4A" w:rsidR="00D91C1C">
        <w:rPr>
          <w:lang w:val="en-GB"/>
        </w:rPr>
        <w:t xml:space="preserve"> has direct public health benefits, </w:t>
      </w:r>
      <w:r w:rsidRPr="00995C4A" w:rsidR="00292883">
        <w:rPr>
          <w:lang w:val="en-GB"/>
        </w:rPr>
        <w:t>whil</w:t>
      </w:r>
      <w:r w:rsidRPr="00995C4A" w:rsidR="00294E1B">
        <w:rPr>
          <w:lang w:val="en-GB"/>
        </w:rPr>
        <w:t>e</w:t>
      </w:r>
      <w:r w:rsidRPr="00995C4A" w:rsidR="00292883">
        <w:rPr>
          <w:lang w:val="en-GB"/>
        </w:rPr>
        <w:t xml:space="preserve"> also </w:t>
      </w:r>
      <w:r w:rsidRPr="00995C4A" w:rsidR="00D91C1C">
        <w:rPr>
          <w:lang w:val="en-GB"/>
        </w:rPr>
        <w:t>contribut</w:t>
      </w:r>
      <w:r w:rsidRPr="00995C4A" w:rsidR="00294E1B">
        <w:rPr>
          <w:lang w:val="en-GB"/>
        </w:rPr>
        <w:t>ing</w:t>
      </w:r>
      <w:r w:rsidRPr="00995C4A" w:rsidR="00D91C1C">
        <w:rPr>
          <w:lang w:val="en-GB"/>
        </w:rPr>
        <w:t xml:space="preserve"> to a cleaner and healthier environment.</w:t>
      </w:r>
    </w:p>
    <w:p w:rsidRPr="00995C4A" w:rsidR="00B36059" w:rsidRDefault="00B36059" w14:paraId="50D612B6" w14:textId="3F98A1F0">
      <w:pPr>
        <w:rPr>
          <w:lang w:val="en-GB"/>
        </w:rPr>
      </w:pPr>
    </w:p>
    <w:p w:rsidRPr="00995C4A" w:rsidR="00B36059" w:rsidRDefault="00B36059" w14:paraId="131C1D0C" w14:textId="5C6C7580">
      <w:pPr>
        <w:rPr>
          <w:lang w:val="en-GB"/>
        </w:rPr>
      </w:pPr>
      <w:r w:rsidRPr="00995C4A">
        <w:rPr>
          <w:lang w:val="en-GB"/>
        </w:rPr>
        <w:t xml:space="preserve">Brussels, </w:t>
      </w:r>
      <w:r w:rsidRPr="00995C4A" w:rsidR="00BC41ED">
        <w:rPr>
          <w:lang w:val="en-GB"/>
        </w:rPr>
        <w:t>17</w:t>
      </w:r>
      <w:r w:rsidRPr="00995C4A" w:rsidR="00D854FC">
        <w:rPr>
          <w:lang w:val="en-GB"/>
        </w:rPr>
        <w:t xml:space="preserve"> April </w:t>
      </w:r>
      <w:r w:rsidRPr="00995C4A" w:rsidR="00BC41ED">
        <w:rPr>
          <w:lang w:val="en-GB"/>
        </w:rPr>
        <w:t>2024</w:t>
      </w:r>
    </w:p>
    <w:p w:rsidRPr="00995C4A" w:rsidR="00B36059" w:rsidRDefault="00B36059" w14:paraId="38930F6E" w14:textId="77777777">
      <w:pPr>
        <w:rPr>
          <w:lang w:val="en-GB"/>
        </w:rPr>
      </w:pPr>
    </w:p>
    <w:tbl>
      <w:tblPr>
        <w:tblW w:w="0" w:type="auto"/>
        <w:tblLayout w:type="fixed"/>
        <w:tblLook w:val="0000" w:firstRow="0" w:lastRow="0" w:firstColumn="0" w:lastColumn="0" w:noHBand="0" w:noVBand="0"/>
      </w:tblPr>
      <w:tblGrid>
        <w:gridCol w:w="4644"/>
        <w:gridCol w:w="4645"/>
      </w:tblGrid>
      <w:tr w:rsidRPr="00995C4A" w:rsidR="00B36059" w:rsidTr="00F02F9B" w14:paraId="429129B3" w14:textId="77777777">
        <w:tc>
          <w:tcPr>
            <w:tcW w:w="4644" w:type="dxa"/>
          </w:tcPr>
          <w:p w:rsidRPr="00995C4A" w:rsidR="00B36059" w:rsidRDefault="00B36059" w14:paraId="7CC3C008" w14:textId="77459B44">
            <w:pPr>
              <w:jc w:val="center"/>
              <w:rPr>
                <w:lang w:val="en-GB"/>
              </w:rPr>
            </w:pPr>
            <w:r w:rsidRPr="00995C4A">
              <w:rPr>
                <w:lang w:val="en-GB"/>
              </w:rPr>
              <w:t>The President</w:t>
            </w:r>
            <w:r w:rsidRPr="00995C4A">
              <w:rPr>
                <w:lang w:val="en-GB"/>
              </w:rPr>
              <w:br/>
              <w:t>of the European Committee of the Regions</w:t>
            </w:r>
            <w:r w:rsidRPr="00995C4A">
              <w:rPr>
                <w:lang w:val="en-GB"/>
              </w:rPr>
              <w:br/>
            </w:r>
            <w:r w:rsidRPr="00995C4A">
              <w:rPr>
                <w:lang w:val="en-GB"/>
              </w:rPr>
              <w:br/>
            </w:r>
            <w:r w:rsidRPr="00995C4A">
              <w:rPr>
                <w:lang w:val="en-GB"/>
              </w:rPr>
              <w:br/>
            </w:r>
            <w:r w:rsidRPr="00995C4A">
              <w:rPr>
                <w:lang w:val="en-GB"/>
              </w:rPr>
              <w:br/>
            </w:r>
            <w:r w:rsidRPr="00995C4A">
              <w:rPr>
                <w:lang w:val="en-GB"/>
              </w:rPr>
              <w:br/>
            </w:r>
            <w:r w:rsidRPr="00995C4A" w:rsidR="00AF2BE0">
              <w:rPr>
                <w:lang w:val="en-GB"/>
              </w:rPr>
              <w:t>Vasco Alves Cordeiro</w:t>
            </w:r>
            <w:r w:rsidRPr="00995C4A">
              <w:rPr>
                <w:lang w:val="en-GB"/>
              </w:rPr>
              <w:t xml:space="preserve"> </w:t>
            </w:r>
          </w:p>
        </w:tc>
        <w:tc>
          <w:tcPr>
            <w:tcW w:w="4645" w:type="dxa"/>
          </w:tcPr>
          <w:p w:rsidRPr="00995C4A" w:rsidR="00B36059" w:rsidRDefault="00B36059" w14:paraId="7CAAE146" w14:textId="77777777">
            <w:pPr>
              <w:jc w:val="center"/>
              <w:rPr>
                <w:lang w:val="en-GB"/>
              </w:rPr>
            </w:pPr>
          </w:p>
        </w:tc>
      </w:tr>
      <w:tr w:rsidRPr="00995C4A" w:rsidR="00B36059" w:rsidTr="00F02F9B" w14:paraId="093F8CD5" w14:textId="77777777">
        <w:tc>
          <w:tcPr>
            <w:tcW w:w="4644" w:type="dxa"/>
          </w:tcPr>
          <w:p w:rsidRPr="00995C4A" w:rsidR="00B36059" w:rsidRDefault="00B36059" w14:paraId="55F987D3" w14:textId="77777777">
            <w:pPr>
              <w:jc w:val="center"/>
              <w:rPr>
                <w:lang w:val="en-GB"/>
              </w:rPr>
            </w:pPr>
          </w:p>
        </w:tc>
        <w:tc>
          <w:tcPr>
            <w:tcW w:w="4645" w:type="dxa"/>
          </w:tcPr>
          <w:p w:rsidRPr="00995C4A" w:rsidR="00B36059" w:rsidRDefault="00B36059" w14:paraId="60DC94A6" w14:textId="4AFE7D3E">
            <w:pPr>
              <w:jc w:val="center"/>
              <w:rPr>
                <w:lang w:val="en-GB"/>
              </w:rPr>
            </w:pPr>
            <w:r w:rsidRPr="00995C4A">
              <w:rPr>
                <w:lang w:val="en-GB"/>
              </w:rPr>
              <w:t>The Secretary-General</w:t>
            </w:r>
            <w:r w:rsidRPr="00995C4A">
              <w:rPr>
                <w:lang w:val="en-GB"/>
              </w:rPr>
              <w:br/>
              <w:t>of the European Committee of the Re</w:t>
            </w:r>
            <w:r w:rsidRPr="00995C4A">
              <w:rPr>
                <w:color w:val="000000"/>
                <w:lang w:val="en-GB"/>
              </w:rPr>
              <w:t>gions</w:t>
            </w:r>
            <w:r w:rsidRPr="00995C4A">
              <w:rPr>
                <w:lang w:val="en-GB"/>
              </w:rPr>
              <w:br/>
            </w:r>
            <w:r w:rsidRPr="00995C4A">
              <w:rPr>
                <w:lang w:val="en-GB"/>
              </w:rPr>
              <w:br/>
            </w:r>
            <w:r w:rsidRPr="00995C4A">
              <w:rPr>
                <w:lang w:val="en-GB"/>
              </w:rPr>
              <w:br/>
            </w:r>
            <w:r w:rsidRPr="00995C4A">
              <w:rPr>
                <w:lang w:val="en-GB"/>
              </w:rPr>
              <w:br/>
            </w:r>
            <w:r w:rsidRPr="00995C4A">
              <w:rPr>
                <w:lang w:val="en-GB"/>
              </w:rPr>
              <w:br/>
            </w:r>
            <w:r w:rsidRPr="00995C4A" w:rsidR="00AF2BE0">
              <w:rPr>
                <w:lang w:val="en-GB"/>
              </w:rPr>
              <w:t>Petr Blížkovský</w:t>
            </w:r>
            <w:r w:rsidRPr="00995C4A">
              <w:rPr>
                <w:lang w:val="en-GB"/>
              </w:rPr>
              <w:t xml:space="preserve"> </w:t>
            </w:r>
          </w:p>
        </w:tc>
      </w:tr>
    </w:tbl>
    <w:p w:rsidRPr="00995C4A" w:rsidR="00C44DF2" w:rsidRDefault="00C44DF2" w14:paraId="2BECF5BD" w14:textId="77777777">
      <w:pPr>
        <w:rPr>
          <w:lang w:val="en-GB"/>
        </w:rPr>
      </w:pPr>
    </w:p>
    <w:p w:rsidRPr="00995C4A" w:rsidR="00C44DF2" w:rsidRDefault="004006D9" w14:paraId="3C9C1C57" w14:textId="77777777">
      <w:pPr>
        <w:keepNext/>
        <w:keepLines/>
        <w:numPr>
          <w:ilvl w:val="0"/>
          <w:numId w:val="2"/>
        </w:numPr>
        <w:ind w:left="567" w:hanging="567"/>
        <w:rPr>
          <w:b/>
          <w:lang w:val="en-GB"/>
        </w:rPr>
      </w:pPr>
      <w:r w:rsidRPr="00995C4A">
        <w:rPr>
          <w:lang w:val="en-GB"/>
        </w:rPr>
        <w:br w:type="page"/>
      </w:r>
      <w:r w:rsidRPr="00995C4A">
        <w:rPr>
          <w:b/>
          <w:lang w:val="en-GB"/>
        </w:rPr>
        <w:t>PROCEDURE</w:t>
      </w:r>
    </w:p>
    <w:p w:rsidRPr="00995C4A" w:rsidR="00B36059" w:rsidRDefault="00B36059" w14:paraId="6E59E0A8" w14:textId="090C8DB0">
      <w:pPr>
        <w:jc w:val="center"/>
        <w:rPr>
          <w:lang w:val="en-GB"/>
        </w:rPr>
      </w:pPr>
    </w:p>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995C4A" w:rsidR="00E448A0" w:rsidTr="00F02F9B" w14:paraId="49C8CA3F" w14:textId="77777777">
        <w:tc>
          <w:tcPr>
            <w:tcW w:w="3848" w:type="dxa"/>
            <w:noWrap/>
          </w:tcPr>
          <w:p w:rsidRPr="00995C4A" w:rsidR="00E448A0" w:rsidRDefault="00E448A0" w14:paraId="2A22E79D" w14:textId="77777777">
            <w:pPr>
              <w:jc w:val="left"/>
              <w:rPr>
                <w:b/>
                <w:lang w:val="en-GB"/>
              </w:rPr>
            </w:pPr>
            <w:r w:rsidRPr="00995C4A">
              <w:rPr>
                <w:b/>
                <w:lang w:val="en-GB"/>
              </w:rPr>
              <w:t>Title</w:t>
            </w:r>
          </w:p>
          <w:p w:rsidRPr="00995C4A" w:rsidR="00E448A0" w:rsidRDefault="00E448A0" w14:paraId="181C44AF" w14:textId="77777777">
            <w:pPr>
              <w:jc w:val="left"/>
              <w:rPr>
                <w:lang w:val="en-GB"/>
              </w:rPr>
            </w:pPr>
          </w:p>
        </w:tc>
        <w:tc>
          <w:tcPr>
            <w:tcW w:w="5441" w:type="dxa"/>
            <w:noWrap/>
          </w:tcPr>
          <w:p w:rsidRPr="00995C4A" w:rsidR="00E448A0" w:rsidRDefault="00E448A0" w14:paraId="0F83AE77" w14:textId="1DEBB3AB">
            <w:pPr>
              <w:rPr>
                <w:lang w:val="en-GB"/>
              </w:rPr>
            </w:pPr>
            <w:r w:rsidRPr="00995C4A">
              <w:rPr>
                <w:lang w:val="en-GB"/>
              </w:rPr>
              <w:t>Localising energy production: the role of geothermal energy</w:t>
            </w:r>
          </w:p>
        </w:tc>
      </w:tr>
      <w:tr w:rsidRPr="00995C4A" w:rsidR="00E448A0" w:rsidTr="00F02F9B" w14:paraId="432D9C5D" w14:textId="77777777">
        <w:tc>
          <w:tcPr>
            <w:tcW w:w="3848" w:type="dxa"/>
            <w:noWrap/>
          </w:tcPr>
          <w:p w:rsidRPr="00995C4A" w:rsidR="00E448A0" w:rsidRDefault="00E448A0" w14:paraId="3703A383" w14:textId="77777777">
            <w:pPr>
              <w:jc w:val="left"/>
              <w:rPr>
                <w:b/>
                <w:bCs/>
                <w:lang w:val="en-GB"/>
              </w:rPr>
            </w:pPr>
            <w:r w:rsidRPr="00995C4A">
              <w:rPr>
                <w:b/>
                <w:lang w:val="en-GB"/>
              </w:rPr>
              <w:t xml:space="preserve">Reference(s) </w:t>
            </w:r>
          </w:p>
        </w:tc>
        <w:tc>
          <w:tcPr>
            <w:tcW w:w="5441" w:type="dxa"/>
            <w:noWrap/>
          </w:tcPr>
          <w:p w:rsidRPr="00995C4A" w:rsidR="00E448A0" w:rsidRDefault="00E448A0" w14:paraId="21A49D27" w14:textId="3EBB83C2">
            <w:pPr>
              <w:rPr>
                <w:lang w:val="en-GB"/>
              </w:rPr>
            </w:pPr>
            <w:r w:rsidRPr="00995C4A">
              <w:rPr>
                <w:lang w:val="en-GB"/>
              </w:rPr>
              <w:t>N/A</w:t>
            </w:r>
          </w:p>
        </w:tc>
      </w:tr>
      <w:tr w:rsidRPr="00995C4A" w:rsidR="00E448A0" w:rsidTr="00F02F9B" w14:paraId="55E54FB5" w14:textId="77777777">
        <w:tc>
          <w:tcPr>
            <w:tcW w:w="3848" w:type="dxa"/>
            <w:noWrap/>
          </w:tcPr>
          <w:p w:rsidRPr="00995C4A" w:rsidR="00E448A0" w:rsidRDefault="00E448A0" w14:paraId="47D4624B" w14:textId="77777777">
            <w:pPr>
              <w:jc w:val="left"/>
              <w:rPr>
                <w:b/>
                <w:bCs/>
                <w:lang w:val="en-GB"/>
              </w:rPr>
            </w:pPr>
            <w:r w:rsidRPr="00995C4A">
              <w:rPr>
                <w:b/>
                <w:lang w:val="en-GB"/>
              </w:rPr>
              <w:t>Legal basis</w:t>
            </w:r>
          </w:p>
        </w:tc>
        <w:tc>
          <w:tcPr>
            <w:tcW w:w="5441" w:type="dxa"/>
            <w:noWrap/>
          </w:tcPr>
          <w:p w:rsidRPr="00995C4A" w:rsidR="00E448A0" w:rsidRDefault="00E448A0" w14:paraId="39CBAE2A" w14:textId="2EDE1FB5">
            <w:pPr>
              <w:rPr>
                <w:lang w:val="en-GB"/>
              </w:rPr>
            </w:pPr>
            <w:r w:rsidRPr="00995C4A">
              <w:rPr>
                <w:lang w:val="en-GB"/>
              </w:rPr>
              <w:t>Own-initiative, Art. 307, 4th paragraph</w:t>
            </w:r>
          </w:p>
        </w:tc>
      </w:tr>
      <w:tr w:rsidRPr="00995C4A" w:rsidR="00E448A0" w:rsidTr="00F02F9B" w14:paraId="7F1EEC44" w14:textId="77777777">
        <w:tc>
          <w:tcPr>
            <w:tcW w:w="3848" w:type="dxa"/>
            <w:noWrap/>
          </w:tcPr>
          <w:p w:rsidRPr="00995C4A" w:rsidR="00E448A0" w:rsidRDefault="00E448A0" w14:paraId="592FB369" w14:textId="77777777">
            <w:pPr>
              <w:jc w:val="left"/>
              <w:rPr>
                <w:b/>
                <w:bCs/>
                <w:lang w:val="en-GB"/>
              </w:rPr>
            </w:pPr>
            <w:r w:rsidRPr="00995C4A">
              <w:rPr>
                <w:b/>
                <w:lang w:val="en-GB"/>
              </w:rPr>
              <w:t>Procedural basis</w:t>
            </w:r>
          </w:p>
        </w:tc>
        <w:tc>
          <w:tcPr>
            <w:tcW w:w="5441" w:type="dxa"/>
            <w:noWrap/>
          </w:tcPr>
          <w:p w:rsidRPr="00995C4A" w:rsidR="00E448A0" w:rsidRDefault="00E448A0" w14:paraId="1602A920" w14:textId="2AC6B13B">
            <w:pPr>
              <w:rPr>
                <w:lang w:val="en-GB"/>
              </w:rPr>
            </w:pPr>
            <w:r w:rsidRPr="00995C4A">
              <w:rPr>
                <w:lang w:val="en-GB"/>
              </w:rPr>
              <w:t>Art. 41 (b) (ii)</w:t>
            </w:r>
          </w:p>
        </w:tc>
      </w:tr>
      <w:tr w:rsidRPr="00995C4A" w:rsidR="00E448A0" w:rsidTr="00F02F9B" w14:paraId="14EB0615" w14:textId="77777777">
        <w:tc>
          <w:tcPr>
            <w:tcW w:w="3848" w:type="dxa"/>
          </w:tcPr>
          <w:p w:rsidRPr="00995C4A" w:rsidR="00E448A0" w:rsidRDefault="00E448A0" w14:paraId="605ADD05" w14:textId="77777777">
            <w:pPr>
              <w:jc w:val="left"/>
              <w:rPr>
                <w:lang w:val="en-GB"/>
              </w:rPr>
            </w:pPr>
            <w:r w:rsidRPr="00995C4A">
              <w:rPr>
                <w:b/>
                <w:lang w:val="en-GB"/>
              </w:rPr>
              <w:t>Date of Council/EP referral/</w:t>
            </w:r>
            <w:r w:rsidRPr="00995C4A">
              <w:rPr>
                <w:b/>
                <w:lang w:val="en-GB"/>
              </w:rPr>
              <w:br/>
              <w:t>Date of Commission letter</w:t>
            </w:r>
          </w:p>
        </w:tc>
        <w:tc>
          <w:tcPr>
            <w:tcW w:w="5441" w:type="dxa"/>
            <w:noWrap/>
          </w:tcPr>
          <w:p w:rsidRPr="00995C4A" w:rsidR="00E448A0" w:rsidRDefault="00E448A0" w14:paraId="18DDED73" w14:textId="159847F9">
            <w:pPr>
              <w:rPr>
                <w:lang w:val="en-GB"/>
              </w:rPr>
            </w:pPr>
            <w:r w:rsidRPr="00995C4A">
              <w:rPr>
                <w:lang w:val="en-GB"/>
              </w:rPr>
              <w:t>N/A</w:t>
            </w:r>
          </w:p>
        </w:tc>
      </w:tr>
      <w:tr w:rsidRPr="00995C4A" w:rsidR="00E448A0" w:rsidTr="00F02F9B" w14:paraId="572516FD" w14:textId="77777777">
        <w:tc>
          <w:tcPr>
            <w:tcW w:w="3848" w:type="dxa"/>
          </w:tcPr>
          <w:p w:rsidRPr="00995C4A" w:rsidR="00E448A0" w:rsidRDefault="00E448A0" w14:paraId="17551B0A" w14:textId="77777777">
            <w:pPr>
              <w:jc w:val="left"/>
              <w:rPr>
                <w:lang w:val="en-GB"/>
              </w:rPr>
            </w:pPr>
            <w:r w:rsidRPr="00995C4A">
              <w:rPr>
                <w:b/>
                <w:lang w:val="en-GB"/>
              </w:rPr>
              <w:t>Date of Bureau/President's decision</w:t>
            </w:r>
          </w:p>
        </w:tc>
        <w:tc>
          <w:tcPr>
            <w:tcW w:w="5441" w:type="dxa"/>
            <w:noWrap/>
          </w:tcPr>
          <w:p w:rsidRPr="00995C4A" w:rsidR="00E448A0" w:rsidRDefault="00E448A0" w14:paraId="36FB0615" w14:textId="435A9231">
            <w:pPr>
              <w:rPr>
                <w:lang w:val="en-GB"/>
              </w:rPr>
            </w:pPr>
            <w:r w:rsidRPr="00995C4A">
              <w:rPr>
                <w:lang w:val="en-GB"/>
              </w:rPr>
              <w:t>9/10/2023</w:t>
            </w:r>
          </w:p>
        </w:tc>
      </w:tr>
      <w:tr w:rsidRPr="00995C4A" w:rsidR="00E448A0" w:rsidTr="00F02F9B" w14:paraId="51E6E21D" w14:textId="77777777">
        <w:tc>
          <w:tcPr>
            <w:tcW w:w="3848" w:type="dxa"/>
            <w:noWrap/>
          </w:tcPr>
          <w:p w:rsidRPr="00995C4A" w:rsidR="00E448A0" w:rsidRDefault="00E448A0" w14:paraId="44EFCD10" w14:textId="77777777">
            <w:pPr>
              <w:jc w:val="left"/>
              <w:rPr>
                <w:b/>
                <w:bCs/>
                <w:lang w:val="en-GB"/>
              </w:rPr>
            </w:pPr>
            <w:r w:rsidRPr="00995C4A">
              <w:rPr>
                <w:b/>
                <w:lang w:val="en-GB"/>
              </w:rPr>
              <w:t>Commission responsible</w:t>
            </w:r>
          </w:p>
        </w:tc>
        <w:tc>
          <w:tcPr>
            <w:tcW w:w="5441" w:type="dxa"/>
            <w:noWrap/>
          </w:tcPr>
          <w:p w:rsidRPr="00995C4A" w:rsidR="00E448A0" w:rsidRDefault="00E448A0" w14:paraId="3E9AC0E5" w14:textId="18CAB0EF">
            <w:pPr>
              <w:rPr>
                <w:lang w:val="en-GB"/>
              </w:rPr>
            </w:pPr>
            <w:r w:rsidRPr="00995C4A">
              <w:rPr>
                <w:lang w:val="en-GB"/>
              </w:rPr>
              <w:t>ENVE-VII-7th Mandate-Commission for the Environment, Climate Change and Energy (ENVE)</w:t>
            </w:r>
          </w:p>
        </w:tc>
      </w:tr>
      <w:tr w:rsidRPr="00995C4A" w:rsidR="00E448A0" w:rsidTr="00F02F9B" w14:paraId="666CCAA0" w14:textId="77777777">
        <w:tc>
          <w:tcPr>
            <w:tcW w:w="3848" w:type="dxa"/>
            <w:noWrap/>
          </w:tcPr>
          <w:p w:rsidRPr="00995C4A" w:rsidR="00E448A0" w:rsidRDefault="00E448A0" w14:paraId="217D52F8" w14:textId="77777777">
            <w:pPr>
              <w:jc w:val="left"/>
              <w:rPr>
                <w:b/>
                <w:bCs/>
                <w:lang w:val="en-GB"/>
              </w:rPr>
            </w:pPr>
            <w:r w:rsidRPr="00995C4A">
              <w:rPr>
                <w:b/>
                <w:lang w:val="en-GB"/>
              </w:rPr>
              <w:t>Rapporteur</w:t>
            </w:r>
          </w:p>
        </w:tc>
        <w:tc>
          <w:tcPr>
            <w:tcW w:w="5441" w:type="dxa"/>
            <w:noWrap/>
          </w:tcPr>
          <w:p w:rsidRPr="00995C4A" w:rsidR="00E448A0" w:rsidRDefault="00E448A0" w14:paraId="7A6C857F" w14:textId="77777777">
            <w:pPr>
              <w:rPr>
                <w:lang w:val="en-GB"/>
              </w:rPr>
            </w:pPr>
            <w:r w:rsidRPr="00995C4A">
              <w:rPr>
                <w:lang w:val="en-GB"/>
              </w:rPr>
              <w:t>József RIBÁNYI (HU/ECR)</w:t>
            </w:r>
          </w:p>
          <w:p w:rsidRPr="00995C4A" w:rsidR="00E448A0" w:rsidRDefault="00E448A0" w14:paraId="5FE4C52A" w14:textId="304A4050">
            <w:pPr>
              <w:rPr>
                <w:lang w:val="en-GB"/>
              </w:rPr>
            </w:pPr>
            <w:r w:rsidRPr="00995C4A">
              <w:rPr>
                <w:lang w:val="en-GB"/>
              </w:rPr>
              <w:t>Member of a Regional Assembly: County Council of Tolna Megye</w:t>
            </w:r>
          </w:p>
        </w:tc>
      </w:tr>
      <w:tr w:rsidRPr="00995C4A" w:rsidR="00E448A0" w:rsidTr="00F02F9B" w14:paraId="0ED929BA" w14:textId="77777777">
        <w:tc>
          <w:tcPr>
            <w:tcW w:w="3848" w:type="dxa"/>
            <w:noWrap/>
          </w:tcPr>
          <w:p w:rsidRPr="00995C4A" w:rsidR="00E448A0" w:rsidRDefault="00E448A0" w14:paraId="76A64B51" w14:textId="77777777">
            <w:pPr>
              <w:jc w:val="left"/>
              <w:rPr>
                <w:b/>
                <w:bCs/>
                <w:lang w:val="en-GB"/>
              </w:rPr>
            </w:pPr>
            <w:r w:rsidRPr="00995C4A">
              <w:rPr>
                <w:b/>
                <w:lang w:val="en-GB"/>
              </w:rPr>
              <w:t>Discussed in commission</w:t>
            </w:r>
          </w:p>
        </w:tc>
        <w:tc>
          <w:tcPr>
            <w:tcW w:w="5441" w:type="dxa"/>
            <w:noWrap/>
          </w:tcPr>
          <w:p w:rsidRPr="00995C4A" w:rsidR="00E448A0" w:rsidRDefault="00E448A0" w14:paraId="64A4518B" w14:textId="00C9377B">
            <w:pPr>
              <w:rPr>
                <w:lang w:val="en-GB"/>
              </w:rPr>
            </w:pPr>
            <w:r w:rsidRPr="00995C4A">
              <w:rPr>
                <w:lang w:val="en-GB"/>
              </w:rPr>
              <w:t>22/11/2023</w:t>
            </w:r>
          </w:p>
        </w:tc>
      </w:tr>
      <w:tr w:rsidRPr="00995C4A" w:rsidR="00E448A0" w:rsidTr="00F02F9B" w14:paraId="46E41B36" w14:textId="77777777">
        <w:tc>
          <w:tcPr>
            <w:tcW w:w="3848" w:type="dxa"/>
            <w:noWrap/>
          </w:tcPr>
          <w:p w:rsidRPr="00995C4A" w:rsidR="00E448A0" w:rsidRDefault="00E448A0" w14:paraId="3C226B16" w14:textId="77777777">
            <w:pPr>
              <w:jc w:val="left"/>
              <w:rPr>
                <w:b/>
                <w:bCs/>
                <w:lang w:val="en-GB"/>
              </w:rPr>
            </w:pPr>
            <w:r w:rsidRPr="00995C4A">
              <w:rPr>
                <w:b/>
                <w:lang w:val="en-GB"/>
              </w:rPr>
              <w:t xml:space="preserve">Date adopted by commission </w:t>
            </w:r>
          </w:p>
        </w:tc>
        <w:tc>
          <w:tcPr>
            <w:tcW w:w="5441" w:type="dxa"/>
            <w:noWrap/>
          </w:tcPr>
          <w:p w:rsidRPr="00995C4A" w:rsidR="00E448A0" w:rsidRDefault="00E448A0" w14:paraId="0F72EC68" w14:textId="34D7B878">
            <w:pPr>
              <w:rPr>
                <w:lang w:val="en-GB"/>
              </w:rPr>
            </w:pPr>
            <w:r w:rsidRPr="00995C4A">
              <w:rPr>
                <w:lang w:val="en-GB"/>
              </w:rPr>
              <w:t>08/2/2024</w:t>
            </w:r>
          </w:p>
        </w:tc>
      </w:tr>
      <w:tr w:rsidRPr="00995C4A" w:rsidR="00E448A0" w:rsidTr="00F02F9B" w14:paraId="107AB14E" w14:textId="77777777">
        <w:tc>
          <w:tcPr>
            <w:tcW w:w="3848" w:type="dxa"/>
            <w:noWrap/>
          </w:tcPr>
          <w:p w:rsidRPr="00995C4A" w:rsidR="00E448A0" w:rsidRDefault="00E448A0" w14:paraId="37F4C0C2" w14:textId="77777777">
            <w:pPr>
              <w:jc w:val="left"/>
              <w:rPr>
                <w:b/>
                <w:bCs/>
                <w:lang w:val="en-GB"/>
              </w:rPr>
            </w:pPr>
            <w:r w:rsidRPr="00995C4A">
              <w:rPr>
                <w:b/>
                <w:lang w:val="en-GB"/>
              </w:rPr>
              <w:t xml:space="preserve">Result of the vote in commission </w:t>
            </w:r>
            <w:r w:rsidRPr="00995C4A">
              <w:rPr>
                <w:b/>
                <w:lang w:val="en-GB"/>
              </w:rPr>
              <w:br/>
              <w:t>(majority, unanimity)</w:t>
            </w:r>
          </w:p>
        </w:tc>
        <w:tc>
          <w:tcPr>
            <w:tcW w:w="5441" w:type="dxa"/>
            <w:noWrap/>
          </w:tcPr>
          <w:p w:rsidRPr="00995C4A" w:rsidR="00E448A0" w:rsidRDefault="00E448A0" w14:paraId="439399A9" w14:textId="22493897">
            <w:pPr>
              <w:rPr>
                <w:lang w:val="en-GB"/>
              </w:rPr>
            </w:pPr>
            <w:r w:rsidRPr="00995C4A">
              <w:rPr>
                <w:lang w:val="en-GB"/>
              </w:rPr>
              <w:t>Unanimity</w:t>
            </w:r>
          </w:p>
        </w:tc>
      </w:tr>
      <w:tr w:rsidRPr="00995C4A" w:rsidR="00E448A0" w:rsidTr="00F02F9B" w14:paraId="0E6718F3" w14:textId="77777777">
        <w:tc>
          <w:tcPr>
            <w:tcW w:w="3848" w:type="dxa"/>
            <w:noWrap/>
          </w:tcPr>
          <w:p w:rsidRPr="00995C4A" w:rsidR="00E448A0" w:rsidRDefault="00E448A0" w14:paraId="4DF0A6B2" w14:textId="77777777">
            <w:pPr>
              <w:jc w:val="left"/>
              <w:rPr>
                <w:b/>
                <w:bCs/>
                <w:lang w:val="en-GB"/>
              </w:rPr>
            </w:pPr>
            <w:r w:rsidRPr="00995C4A">
              <w:rPr>
                <w:b/>
                <w:lang w:val="en-GB"/>
              </w:rPr>
              <w:t xml:space="preserve">Date adopted in plenary </w:t>
            </w:r>
          </w:p>
        </w:tc>
        <w:tc>
          <w:tcPr>
            <w:tcW w:w="5441" w:type="dxa"/>
            <w:noWrap/>
          </w:tcPr>
          <w:p w:rsidRPr="00995C4A" w:rsidR="00E448A0" w:rsidRDefault="00E448A0" w14:paraId="2437DEB2" w14:textId="39B866F0">
            <w:pPr>
              <w:rPr>
                <w:lang w:val="en-GB"/>
              </w:rPr>
            </w:pPr>
            <w:r w:rsidRPr="00995C4A">
              <w:rPr>
                <w:lang w:val="en-GB"/>
              </w:rPr>
              <w:t>17/4/2024</w:t>
            </w:r>
          </w:p>
        </w:tc>
      </w:tr>
      <w:tr w:rsidRPr="00995C4A" w:rsidR="00E448A0" w:rsidTr="00F02F9B" w14:paraId="167B1D33" w14:textId="77777777">
        <w:tc>
          <w:tcPr>
            <w:tcW w:w="3848" w:type="dxa"/>
            <w:noWrap/>
          </w:tcPr>
          <w:p w:rsidRPr="00995C4A" w:rsidR="00E448A0" w:rsidRDefault="00E448A0" w14:paraId="2434E44B" w14:textId="77777777">
            <w:pPr>
              <w:jc w:val="left"/>
              <w:rPr>
                <w:b/>
                <w:bCs/>
                <w:lang w:val="en-GB"/>
              </w:rPr>
            </w:pPr>
            <w:r w:rsidRPr="00995C4A">
              <w:rPr>
                <w:b/>
                <w:lang w:val="en-GB"/>
              </w:rPr>
              <w:t xml:space="preserve">Previous Committee opinions </w:t>
            </w:r>
          </w:p>
        </w:tc>
        <w:tc>
          <w:tcPr>
            <w:tcW w:w="5441" w:type="dxa"/>
            <w:noWrap/>
          </w:tcPr>
          <w:p w:rsidRPr="00995C4A" w:rsidR="00E448A0" w:rsidRDefault="00E448A0" w14:paraId="1C26C5B3" w14:textId="23C5FDDC">
            <w:pPr>
              <w:rPr>
                <w:lang w:val="en-GB"/>
              </w:rPr>
            </w:pPr>
            <w:r w:rsidRPr="00995C4A">
              <w:rPr>
                <w:lang w:val="en-GB"/>
              </w:rPr>
              <w:t>N/A</w:t>
            </w:r>
          </w:p>
        </w:tc>
      </w:tr>
      <w:tr w:rsidRPr="00995C4A" w:rsidR="00E448A0" w:rsidTr="00F02F9B" w14:paraId="56EC4887" w14:textId="77777777">
        <w:tc>
          <w:tcPr>
            <w:tcW w:w="3848" w:type="dxa"/>
            <w:noWrap/>
          </w:tcPr>
          <w:p w:rsidRPr="00995C4A" w:rsidR="00E448A0" w:rsidRDefault="00E448A0" w14:paraId="0C1BF7B6" w14:textId="77777777">
            <w:pPr>
              <w:jc w:val="left"/>
              <w:rPr>
                <w:b/>
                <w:bCs/>
                <w:lang w:val="en-GB"/>
              </w:rPr>
            </w:pPr>
            <w:r w:rsidRPr="00995C4A">
              <w:rPr>
                <w:b/>
                <w:lang w:val="en-GB"/>
              </w:rPr>
              <w:t>Subsidiarity reference</w:t>
            </w:r>
          </w:p>
        </w:tc>
        <w:tc>
          <w:tcPr>
            <w:tcW w:w="5441" w:type="dxa"/>
            <w:noWrap/>
          </w:tcPr>
          <w:p w:rsidRPr="00995C4A" w:rsidR="00E448A0" w:rsidRDefault="00E448A0" w14:paraId="27FAADDA" w14:textId="16601931">
            <w:pPr>
              <w:rPr>
                <w:lang w:val="en-GB"/>
              </w:rPr>
            </w:pPr>
            <w:r w:rsidRPr="00995C4A">
              <w:rPr>
                <w:lang w:val="en-GB"/>
              </w:rPr>
              <w:t>N/A</w:t>
            </w:r>
          </w:p>
        </w:tc>
      </w:tr>
    </w:tbl>
    <w:p w:rsidRPr="00995C4A" w:rsidR="00B36059" w:rsidRDefault="00B36059" w14:paraId="41A447C5" w14:textId="56621832">
      <w:pPr>
        <w:jc w:val="center"/>
        <w:rPr>
          <w:lang w:val="en-GB"/>
        </w:rPr>
      </w:pPr>
    </w:p>
    <w:p w:rsidRPr="00995C4A" w:rsidR="00E448A0" w:rsidRDefault="00E448A0" w14:paraId="5FA336FD" w14:textId="77777777">
      <w:pPr>
        <w:jc w:val="center"/>
        <w:rPr>
          <w:lang w:val="en-GB"/>
        </w:rPr>
      </w:pPr>
      <w:r w:rsidRPr="00995C4A">
        <w:rPr>
          <w:lang w:val="en-GB"/>
        </w:rPr>
        <w:t>_____________</w:t>
      </w:r>
    </w:p>
    <w:p w:rsidRPr="00995C4A" w:rsidR="00B36059" w:rsidRDefault="00B36059" w14:paraId="0C4728E2" w14:textId="77777777">
      <w:pPr>
        <w:jc w:val="center"/>
        <w:rPr>
          <w:bCs/>
          <w:lang w:val="en-GB"/>
        </w:rPr>
      </w:pPr>
    </w:p>
    <w:sectPr w:rsidRPr="00995C4A" w:rsidR="00B36059" w:rsidSect="000E5C11">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418" w:rsidP="003C5DE0" w:rsidRDefault="003B1418" w14:paraId="5AAD7A37" w14:textId="77777777">
      <w:pPr>
        <w:spacing w:line="240" w:lineRule="auto"/>
      </w:pPr>
      <w:r>
        <w:separator/>
      </w:r>
    </w:p>
  </w:endnote>
  <w:endnote w:type="continuationSeparator" w:id="0">
    <w:p w:rsidR="003B1418" w:rsidP="003C5DE0" w:rsidRDefault="003B1418" w14:paraId="612FB04F"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5C11" w:rsidR="00622656" w:rsidP="000E5C11" w:rsidRDefault="00622656" w14:paraId="1200F8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5C11" w:rsidR="00622656" w:rsidP="000E5C11" w:rsidRDefault="000E5C11" w14:paraId="3E90F119" w14:textId="641E8C14">
    <w:pPr>
      <w:pStyle w:val="Footer"/>
    </w:pPr>
    <w:r>
      <w:t xml:space="preserve">COR-2023-04406-00-00-AC-TRA (EN) </w:t>
    </w:r>
    <w:r>
      <w:fldChar w:fldCharType="begin"/>
    </w:r>
    <w:r>
      <w:instrText xml:space="preserve"> PAGE  \* Arabic  \* MERGEFORMAT </w:instrText>
    </w:r>
    <w:r>
      <w:fldChar w:fldCharType="separate"/>
    </w:r>
    <w:r w:rsidR="00BA1779">
      <w:rPr>
        <w:noProof/>
      </w:rPr>
      <w:t>1</w:t>
    </w:r>
    <w:r>
      <w:fldChar w:fldCharType="end"/>
    </w:r>
    <w:r>
      <w:t>/</w:t>
    </w:r>
    <w:r>
      <w:fldChar w:fldCharType="begin"/>
    </w:r>
    <w:r>
      <w:instrText xml:space="preserve"> NUMPAGES </w:instrText>
    </w:r>
    <w:r>
      <w:fldChar w:fldCharType="separate"/>
    </w:r>
    <w:r w:rsidR="00BA177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5C11" w:rsidR="00622656" w:rsidP="000E5C11" w:rsidRDefault="00622656" w14:paraId="378A0D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418" w:rsidP="003C5DE0" w:rsidRDefault="003B1418" w14:paraId="18EBE599" w14:textId="77777777">
      <w:pPr>
        <w:spacing w:line="240" w:lineRule="auto"/>
      </w:pPr>
      <w:r>
        <w:separator/>
      </w:r>
    </w:p>
  </w:footnote>
  <w:footnote w:type="continuationSeparator" w:id="0">
    <w:p w:rsidR="003B1418" w:rsidP="003C5DE0" w:rsidRDefault="003B1418" w14:paraId="599AFF2B" w14:textId="77777777">
      <w:pPr>
        <w:spacing w:line="240" w:lineRule="auto"/>
      </w:pPr>
      <w:r>
        <w:continuationSeparator/>
      </w:r>
    </w:p>
  </w:footnote>
  <w:footnote w:id="1">
    <w:p w:rsidRPr="000D204D" w:rsidR="003C5DE0" w:rsidP="000D204D" w:rsidRDefault="003C5DE0" w14:paraId="31E59155" w14:textId="77777777">
      <w:pPr>
        <w:pStyle w:val="FootnoteText"/>
      </w:pPr>
      <w:r w:rsidRPr="000D204D">
        <w:rPr>
          <w:rStyle w:val="FootnoteReference"/>
        </w:rPr>
        <w:footnoteRef/>
      </w:r>
      <w:r w:rsidR="000D204D">
        <w:tab/>
      </w:r>
      <w:r w:rsidRPr="000D204D" w:rsidR="0094236C">
        <w:rPr>
          <w:i/>
        </w:rPr>
        <w:t>Amending the Renewable Energy Directive to meet the new 2030 climate targets</w:t>
      </w:r>
      <w:r w:rsidRPr="000D204D" w:rsidR="0094236C">
        <w:t xml:space="preserve"> (ENVE-VII/023, 2022), </w:t>
      </w:r>
      <w:r w:rsidRPr="000D204D" w:rsidR="0094236C">
        <w:rPr>
          <w:i/>
        </w:rPr>
        <w:t>A multilevel governance for the Green Deal: towards the revision of the Governance Regulation</w:t>
      </w:r>
      <w:r w:rsidRPr="000D204D" w:rsidR="0094236C">
        <w:t xml:space="preserve"> (ENVE-VII/039, 2023) (ENVE-VII/037, 2023) and the </w:t>
      </w:r>
      <w:r w:rsidRPr="000D204D" w:rsidR="0094236C">
        <w:rPr>
          <w:i/>
        </w:rPr>
        <w:t>Just and Sustainable Transition in the context of the coal and energy intensive regions</w:t>
      </w:r>
      <w:r w:rsidRPr="000D204D" w:rsidR="0094236C">
        <w:t xml:space="preserve"> </w:t>
      </w:r>
      <w:r w:rsidRPr="000D204D" w:rsidR="00AB1F92">
        <w:t>(</w:t>
      </w:r>
      <w:r w:rsidRPr="000D204D" w:rsidR="0094236C">
        <w:t>COTER-VII/24, 2022</w:t>
      </w:r>
      <w:r w:rsidRPr="000D204D" w:rsidR="00AB1F92">
        <w:t>)</w:t>
      </w:r>
      <w:r w:rsidRPr="000D204D" w:rsidR="00A91561">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5C11" w:rsidR="00622656" w:rsidP="000E5C11" w:rsidRDefault="00622656" w14:paraId="3AFCF1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5C11" w:rsidR="00622656" w:rsidP="000E5C11" w:rsidRDefault="00622656" w14:paraId="7748AE73" w14:textId="2A3EEE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5C11" w:rsidR="00622656" w:rsidP="000E5C11" w:rsidRDefault="00622656" w14:paraId="55FD91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5C521D9"/>
    <w:multiLevelType w:val="multilevel"/>
    <w:tmpl w:val="600881E4"/>
    <w:lvl w:ilvl="0">
      <w:start w:val="1"/>
      <w:numFmt w:val="upperRoman"/>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1303C7F"/>
    <w:multiLevelType w:val="multilevel"/>
    <w:tmpl w:val="39328BC4"/>
    <w:lvl w:ilvl="0">
      <w:start w:val="1"/>
      <w:numFmt w:val="decimal"/>
      <w:lvlText w:val="%1."/>
      <w:lvlJc w:val="left"/>
      <w:pPr>
        <w:ind w:left="-2835" w:firstLine="0"/>
      </w:pPr>
    </w:lvl>
    <w:lvl w:ilvl="1">
      <w:start w:val="1"/>
      <w:numFmt w:val="decimal"/>
      <w:lvlText w:val="%1.%2"/>
      <w:lvlJc w:val="left"/>
      <w:pPr>
        <w:ind w:left="-2835" w:firstLine="0"/>
      </w:pPr>
    </w:lvl>
    <w:lvl w:ilvl="2">
      <w:start w:val="1"/>
      <w:numFmt w:val="decimal"/>
      <w:lvlText w:val="%1.%2.%3"/>
      <w:lvlJc w:val="left"/>
      <w:pPr>
        <w:ind w:left="-2835" w:firstLine="0"/>
      </w:pPr>
    </w:lvl>
    <w:lvl w:ilvl="3">
      <w:start w:val="1"/>
      <w:numFmt w:val="decimal"/>
      <w:lvlText w:val="%1.%2.%3.%4"/>
      <w:lvlJc w:val="left"/>
      <w:pPr>
        <w:ind w:left="-2835" w:firstLine="0"/>
      </w:pPr>
    </w:lvl>
    <w:lvl w:ilvl="4">
      <w:start w:val="1"/>
      <w:numFmt w:val="decimal"/>
      <w:lvlText w:val="%1.%2.%3.%4.%5"/>
      <w:lvlJc w:val="left"/>
      <w:pPr>
        <w:ind w:left="-2835" w:firstLine="0"/>
      </w:pPr>
    </w:lvl>
    <w:lvl w:ilvl="5">
      <w:start w:val="1"/>
      <w:numFmt w:val="decimal"/>
      <w:lvlText w:val="%1.%2.%3.%4.%5.%6"/>
      <w:lvlJc w:val="left"/>
      <w:pPr>
        <w:ind w:left="-2835" w:firstLine="0"/>
      </w:pPr>
    </w:lvl>
    <w:lvl w:ilvl="6">
      <w:start w:val="1"/>
      <w:numFmt w:val="decimal"/>
      <w:lvlText w:val="%1.%2.%3.%4.%5.%6.%7"/>
      <w:lvlJc w:val="left"/>
      <w:pPr>
        <w:ind w:left="-2835" w:firstLine="0"/>
      </w:pPr>
    </w:lvl>
    <w:lvl w:ilvl="7">
      <w:start w:val="1"/>
      <w:numFmt w:val="decimal"/>
      <w:lvlText w:val="%1.%2.%3.%4.%5.%6.%7.%8"/>
      <w:lvlJc w:val="left"/>
      <w:pPr>
        <w:ind w:left="-2835" w:firstLine="0"/>
      </w:pPr>
    </w:lvl>
    <w:lvl w:ilvl="8">
      <w:start w:val="1"/>
      <w:numFmt w:val="decimal"/>
      <w:lvlText w:val="%1.%2.%3.%4.%5.%6.%7.%8.%9"/>
      <w:lvlJc w:val="left"/>
      <w:pPr>
        <w:ind w:left="-2835" w:firstLine="0"/>
      </w:pPr>
    </w:lvl>
  </w:abstractNum>
  <w:abstractNum w:abstractNumId="3"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DF2"/>
    <w:rsid w:val="00002855"/>
    <w:rsid w:val="00003E99"/>
    <w:rsid w:val="000112F6"/>
    <w:rsid w:val="00012A4E"/>
    <w:rsid w:val="0001324A"/>
    <w:rsid w:val="00027346"/>
    <w:rsid w:val="0003130B"/>
    <w:rsid w:val="00031F47"/>
    <w:rsid w:val="000323B3"/>
    <w:rsid w:val="00033897"/>
    <w:rsid w:val="00037188"/>
    <w:rsid w:val="00040C13"/>
    <w:rsid w:val="00044E62"/>
    <w:rsid w:val="000461F9"/>
    <w:rsid w:val="00047F6B"/>
    <w:rsid w:val="00054E89"/>
    <w:rsid w:val="0005661E"/>
    <w:rsid w:val="00056D57"/>
    <w:rsid w:val="00060C1C"/>
    <w:rsid w:val="00063F47"/>
    <w:rsid w:val="00066D2C"/>
    <w:rsid w:val="00073331"/>
    <w:rsid w:val="00077475"/>
    <w:rsid w:val="0008190E"/>
    <w:rsid w:val="00086BCF"/>
    <w:rsid w:val="00092047"/>
    <w:rsid w:val="00094D6A"/>
    <w:rsid w:val="00097C51"/>
    <w:rsid w:val="000A301B"/>
    <w:rsid w:val="000A48B4"/>
    <w:rsid w:val="000A5ED7"/>
    <w:rsid w:val="000B25A7"/>
    <w:rsid w:val="000C26DC"/>
    <w:rsid w:val="000C7519"/>
    <w:rsid w:val="000D1C7C"/>
    <w:rsid w:val="000D204D"/>
    <w:rsid w:val="000D53B4"/>
    <w:rsid w:val="000E05B0"/>
    <w:rsid w:val="000E2002"/>
    <w:rsid w:val="000E4CCC"/>
    <w:rsid w:val="000E55F8"/>
    <w:rsid w:val="000E5C11"/>
    <w:rsid w:val="000F5493"/>
    <w:rsid w:val="00103C35"/>
    <w:rsid w:val="00105F07"/>
    <w:rsid w:val="0011244F"/>
    <w:rsid w:val="001150C2"/>
    <w:rsid w:val="00126414"/>
    <w:rsid w:val="001271DE"/>
    <w:rsid w:val="00127289"/>
    <w:rsid w:val="0013156C"/>
    <w:rsid w:val="00137B2B"/>
    <w:rsid w:val="00141AED"/>
    <w:rsid w:val="00141F75"/>
    <w:rsid w:val="0014228A"/>
    <w:rsid w:val="00143826"/>
    <w:rsid w:val="00143C75"/>
    <w:rsid w:val="001451ED"/>
    <w:rsid w:val="00146817"/>
    <w:rsid w:val="00150178"/>
    <w:rsid w:val="0015159A"/>
    <w:rsid w:val="00157835"/>
    <w:rsid w:val="00161A5A"/>
    <w:rsid w:val="0016264F"/>
    <w:rsid w:val="0016363A"/>
    <w:rsid w:val="00163A1B"/>
    <w:rsid w:val="0017072A"/>
    <w:rsid w:val="00170C2B"/>
    <w:rsid w:val="00173BD7"/>
    <w:rsid w:val="00180AF1"/>
    <w:rsid w:val="001819B4"/>
    <w:rsid w:val="001947E3"/>
    <w:rsid w:val="00197D5F"/>
    <w:rsid w:val="001A0085"/>
    <w:rsid w:val="001A1596"/>
    <w:rsid w:val="001A3484"/>
    <w:rsid w:val="001A6DCA"/>
    <w:rsid w:val="001B10A7"/>
    <w:rsid w:val="001B264F"/>
    <w:rsid w:val="001B6D38"/>
    <w:rsid w:val="001C0EF9"/>
    <w:rsid w:val="001C551E"/>
    <w:rsid w:val="001D3C04"/>
    <w:rsid w:val="001D3DC1"/>
    <w:rsid w:val="001E377C"/>
    <w:rsid w:val="001E7492"/>
    <w:rsid w:val="001E7D54"/>
    <w:rsid w:val="001F1EF0"/>
    <w:rsid w:val="0020064A"/>
    <w:rsid w:val="00204F48"/>
    <w:rsid w:val="002051A8"/>
    <w:rsid w:val="002101BF"/>
    <w:rsid w:val="00216C3D"/>
    <w:rsid w:val="0021721E"/>
    <w:rsid w:val="00236A22"/>
    <w:rsid w:val="00240007"/>
    <w:rsid w:val="002403ED"/>
    <w:rsid w:val="00241D48"/>
    <w:rsid w:val="002447AF"/>
    <w:rsid w:val="00255A32"/>
    <w:rsid w:val="002578A1"/>
    <w:rsid w:val="00260FA1"/>
    <w:rsid w:val="00261637"/>
    <w:rsid w:val="00261923"/>
    <w:rsid w:val="00263885"/>
    <w:rsid w:val="00266FA4"/>
    <w:rsid w:val="0027464C"/>
    <w:rsid w:val="00275273"/>
    <w:rsid w:val="00275BF1"/>
    <w:rsid w:val="00276168"/>
    <w:rsid w:val="00291913"/>
    <w:rsid w:val="00292883"/>
    <w:rsid w:val="00293719"/>
    <w:rsid w:val="00294E1B"/>
    <w:rsid w:val="002A354C"/>
    <w:rsid w:val="002A6737"/>
    <w:rsid w:val="002A788D"/>
    <w:rsid w:val="002B1923"/>
    <w:rsid w:val="002B7D50"/>
    <w:rsid w:val="002C59C5"/>
    <w:rsid w:val="002D1BD2"/>
    <w:rsid w:val="002D3E5E"/>
    <w:rsid w:val="002D5DA0"/>
    <w:rsid w:val="002D7711"/>
    <w:rsid w:val="002E1687"/>
    <w:rsid w:val="002E2CA9"/>
    <w:rsid w:val="003036EE"/>
    <w:rsid w:val="00305162"/>
    <w:rsid w:val="00314A79"/>
    <w:rsid w:val="00317E9D"/>
    <w:rsid w:val="00323565"/>
    <w:rsid w:val="0032530B"/>
    <w:rsid w:val="00326A79"/>
    <w:rsid w:val="00332935"/>
    <w:rsid w:val="00340259"/>
    <w:rsid w:val="00343084"/>
    <w:rsid w:val="003458F6"/>
    <w:rsid w:val="003515A6"/>
    <w:rsid w:val="003523A5"/>
    <w:rsid w:val="00352CBB"/>
    <w:rsid w:val="00354E50"/>
    <w:rsid w:val="00356206"/>
    <w:rsid w:val="0035684A"/>
    <w:rsid w:val="003704A7"/>
    <w:rsid w:val="00372B0A"/>
    <w:rsid w:val="00380C36"/>
    <w:rsid w:val="00384FC1"/>
    <w:rsid w:val="00385635"/>
    <w:rsid w:val="00391AED"/>
    <w:rsid w:val="003A31B9"/>
    <w:rsid w:val="003A39E4"/>
    <w:rsid w:val="003A6A04"/>
    <w:rsid w:val="003B09E0"/>
    <w:rsid w:val="003B1418"/>
    <w:rsid w:val="003B5F09"/>
    <w:rsid w:val="003B795E"/>
    <w:rsid w:val="003C0D7B"/>
    <w:rsid w:val="003C2A8B"/>
    <w:rsid w:val="003C5CA7"/>
    <w:rsid w:val="003C5DE0"/>
    <w:rsid w:val="003C656E"/>
    <w:rsid w:val="003C7CAF"/>
    <w:rsid w:val="003D43AC"/>
    <w:rsid w:val="003E0E07"/>
    <w:rsid w:val="003E58A1"/>
    <w:rsid w:val="004006D9"/>
    <w:rsid w:val="004012D6"/>
    <w:rsid w:val="00401921"/>
    <w:rsid w:val="00406578"/>
    <w:rsid w:val="00407018"/>
    <w:rsid w:val="004109A7"/>
    <w:rsid w:val="004119B7"/>
    <w:rsid w:val="004174D9"/>
    <w:rsid w:val="004241F7"/>
    <w:rsid w:val="00425C42"/>
    <w:rsid w:val="00430CCB"/>
    <w:rsid w:val="004325AA"/>
    <w:rsid w:val="004468C6"/>
    <w:rsid w:val="00451742"/>
    <w:rsid w:val="00451FAB"/>
    <w:rsid w:val="00452945"/>
    <w:rsid w:val="00452B8B"/>
    <w:rsid w:val="00453A0D"/>
    <w:rsid w:val="0046236C"/>
    <w:rsid w:val="00464BA0"/>
    <w:rsid w:val="0046649A"/>
    <w:rsid w:val="00467174"/>
    <w:rsid w:val="0047085F"/>
    <w:rsid w:val="004755A2"/>
    <w:rsid w:val="00477ABE"/>
    <w:rsid w:val="0048696B"/>
    <w:rsid w:val="00493160"/>
    <w:rsid w:val="004956C3"/>
    <w:rsid w:val="00496901"/>
    <w:rsid w:val="004A5658"/>
    <w:rsid w:val="004A715B"/>
    <w:rsid w:val="004B1304"/>
    <w:rsid w:val="004B31F4"/>
    <w:rsid w:val="004B47AD"/>
    <w:rsid w:val="004B7A6A"/>
    <w:rsid w:val="004C0C46"/>
    <w:rsid w:val="004C16E7"/>
    <w:rsid w:val="004C231E"/>
    <w:rsid w:val="004C26FC"/>
    <w:rsid w:val="004C2705"/>
    <w:rsid w:val="004D2E68"/>
    <w:rsid w:val="004D7C4C"/>
    <w:rsid w:val="004E2DA8"/>
    <w:rsid w:val="004E3B2F"/>
    <w:rsid w:val="004F3A94"/>
    <w:rsid w:val="004F4187"/>
    <w:rsid w:val="00501173"/>
    <w:rsid w:val="00507398"/>
    <w:rsid w:val="00513A79"/>
    <w:rsid w:val="00521F86"/>
    <w:rsid w:val="005232B9"/>
    <w:rsid w:val="00526BFB"/>
    <w:rsid w:val="00527777"/>
    <w:rsid w:val="00535780"/>
    <w:rsid w:val="00541868"/>
    <w:rsid w:val="0054226B"/>
    <w:rsid w:val="00551720"/>
    <w:rsid w:val="00551AD2"/>
    <w:rsid w:val="00553E01"/>
    <w:rsid w:val="00555FA0"/>
    <w:rsid w:val="00556F23"/>
    <w:rsid w:val="005624E3"/>
    <w:rsid w:val="00564D47"/>
    <w:rsid w:val="00566C71"/>
    <w:rsid w:val="00567718"/>
    <w:rsid w:val="005723E5"/>
    <w:rsid w:val="005736A4"/>
    <w:rsid w:val="00580AC4"/>
    <w:rsid w:val="005815B6"/>
    <w:rsid w:val="00587A10"/>
    <w:rsid w:val="00592593"/>
    <w:rsid w:val="005A3055"/>
    <w:rsid w:val="005A3206"/>
    <w:rsid w:val="005A74EC"/>
    <w:rsid w:val="005B0A6D"/>
    <w:rsid w:val="005B24B6"/>
    <w:rsid w:val="005D02F4"/>
    <w:rsid w:val="005E07DA"/>
    <w:rsid w:val="005E225E"/>
    <w:rsid w:val="005E5AD0"/>
    <w:rsid w:val="005E7D26"/>
    <w:rsid w:val="005F1246"/>
    <w:rsid w:val="00601CFE"/>
    <w:rsid w:val="00603318"/>
    <w:rsid w:val="0060781F"/>
    <w:rsid w:val="006114B7"/>
    <w:rsid w:val="00613606"/>
    <w:rsid w:val="00616D73"/>
    <w:rsid w:val="00622656"/>
    <w:rsid w:val="0062730E"/>
    <w:rsid w:val="00631EA3"/>
    <w:rsid w:val="006355B2"/>
    <w:rsid w:val="00636D19"/>
    <w:rsid w:val="006444DA"/>
    <w:rsid w:val="006475B0"/>
    <w:rsid w:val="006545B5"/>
    <w:rsid w:val="00655DCB"/>
    <w:rsid w:val="006560AB"/>
    <w:rsid w:val="00673AB2"/>
    <w:rsid w:val="00681761"/>
    <w:rsid w:val="006A2001"/>
    <w:rsid w:val="006A58BB"/>
    <w:rsid w:val="006A7B9D"/>
    <w:rsid w:val="006B11AE"/>
    <w:rsid w:val="006B330A"/>
    <w:rsid w:val="006B3674"/>
    <w:rsid w:val="006B367E"/>
    <w:rsid w:val="006C7D51"/>
    <w:rsid w:val="006D26EE"/>
    <w:rsid w:val="006D3B61"/>
    <w:rsid w:val="006D52A3"/>
    <w:rsid w:val="006D5398"/>
    <w:rsid w:val="006E38DE"/>
    <w:rsid w:val="006E57A3"/>
    <w:rsid w:val="006E6B63"/>
    <w:rsid w:val="006F1B35"/>
    <w:rsid w:val="00701DC2"/>
    <w:rsid w:val="00701FC6"/>
    <w:rsid w:val="007067D4"/>
    <w:rsid w:val="00712213"/>
    <w:rsid w:val="00715837"/>
    <w:rsid w:val="00720621"/>
    <w:rsid w:val="00723DE3"/>
    <w:rsid w:val="00724ECC"/>
    <w:rsid w:val="00726A56"/>
    <w:rsid w:val="0073166E"/>
    <w:rsid w:val="007333CB"/>
    <w:rsid w:val="00740E42"/>
    <w:rsid w:val="00741AB6"/>
    <w:rsid w:val="00747A39"/>
    <w:rsid w:val="00760C86"/>
    <w:rsid w:val="00761A8B"/>
    <w:rsid w:val="00762233"/>
    <w:rsid w:val="00771CB2"/>
    <w:rsid w:val="007735A6"/>
    <w:rsid w:val="007741B9"/>
    <w:rsid w:val="00775AD8"/>
    <w:rsid w:val="007807D9"/>
    <w:rsid w:val="00780E54"/>
    <w:rsid w:val="0078203D"/>
    <w:rsid w:val="00782146"/>
    <w:rsid w:val="007852F7"/>
    <w:rsid w:val="00785C9C"/>
    <w:rsid w:val="007868A2"/>
    <w:rsid w:val="00790E91"/>
    <w:rsid w:val="007949F3"/>
    <w:rsid w:val="007A4F42"/>
    <w:rsid w:val="007B0E1C"/>
    <w:rsid w:val="007C004F"/>
    <w:rsid w:val="007C129C"/>
    <w:rsid w:val="007C1C70"/>
    <w:rsid w:val="007C6CC3"/>
    <w:rsid w:val="007C75D4"/>
    <w:rsid w:val="007C7BA8"/>
    <w:rsid w:val="007D688F"/>
    <w:rsid w:val="007E16C4"/>
    <w:rsid w:val="007E21E1"/>
    <w:rsid w:val="007E2830"/>
    <w:rsid w:val="007E7649"/>
    <w:rsid w:val="007E7A30"/>
    <w:rsid w:val="007F0F32"/>
    <w:rsid w:val="007F1961"/>
    <w:rsid w:val="007F24FA"/>
    <w:rsid w:val="007F35CA"/>
    <w:rsid w:val="007F5C1F"/>
    <w:rsid w:val="007F7462"/>
    <w:rsid w:val="00802717"/>
    <w:rsid w:val="00804932"/>
    <w:rsid w:val="008120A0"/>
    <w:rsid w:val="00812A06"/>
    <w:rsid w:val="008274DA"/>
    <w:rsid w:val="00830E34"/>
    <w:rsid w:val="0083108B"/>
    <w:rsid w:val="00832DA3"/>
    <w:rsid w:val="0083612C"/>
    <w:rsid w:val="00837422"/>
    <w:rsid w:val="008411AD"/>
    <w:rsid w:val="00842ACD"/>
    <w:rsid w:val="00850589"/>
    <w:rsid w:val="00854978"/>
    <w:rsid w:val="00854AFE"/>
    <w:rsid w:val="00860E80"/>
    <w:rsid w:val="00875032"/>
    <w:rsid w:val="00876CCA"/>
    <w:rsid w:val="008839F0"/>
    <w:rsid w:val="00886E4D"/>
    <w:rsid w:val="008902C1"/>
    <w:rsid w:val="008947B2"/>
    <w:rsid w:val="0089778F"/>
    <w:rsid w:val="008A3CA3"/>
    <w:rsid w:val="008B13CB"/>
    <w:rsid w:val="008B2983"/>
    <w:rsid w:val="008B2BB4"/>
    <w:rsid w:val="008B3148"/>
    <w:rsid w:val="008B4ACB"/>
    <w:rsid w:val="008B54CC"/>
    <w:rsid w:val="008C0988"/>
    <w:rsid w:val="008C3CAF"/>
    <w:rsid w:val="008C3F3F"/>
    <w:rsid w:val="008C52E9"/>
    <w:rsid w:val="008E4EB4"/>
    <w:rsid w:val="008E631C"/>
    <w:rsid w:val="008F1FA1"/>
    <w:rsid w:val="00901D9C"/>
    <w:rsid w:val="0090377D"/>
    <w:rsid w:val="0091327A"/>
    <w:rsid w:val="00913E9D"/>
    <w:rsid w:val="00916BDA"/>
    <w:rsid w:val="0092303F"/>
    <w:rsid w:val="00923B39"/>
    <w:rsid w:val="00934DC4"/>
    <w:rsid w:val="00937402"/>
    <w:rsid w:val="009411CA"/>
    <w:rsid w:val="0094236C"/>
    <w:rsid w:val="00943163"/>
    <w:rsid w:val="009453C1"/>
    <w:rsid w:val="00950464"/>
    <w:rsid w:val="009506E1"/>
    <w:rsid w:val="009567EB"/>
    <w:rsid w:val="0096199C"/>
    <w:rsid w:val="00972C0A"/>
    <w:rsid w:val="00975D0B"/>
    <w:rsid w:val="009760C3"/>
    <w:rsid w:val="009804F7"/>
    <w:rsid w:val="00990920"/>
    <w:rsid w:val="00990973"/>
    <w:rsid w:val="00990DC2"/>
    <w:rsid w:val="009927B2"/>
    <w:rsid w:val="00995C4A"/>
    <w:rsid w:val="009A15E3"/>
    <w:rsid w:val="009A3672"/>
    <w:rsid w:val="009B3771"/>
    <w:rsid w:val="009D2BFC"/>
    <w:rsid w:val="009F11B8"/>
    <w:rsid w:val="009F2ECE"/>
    <w:rsid w:val="009F3910"/>
    <w:rsid w:val="00A00BDE"/>
    <w:rsid w:val="00A0184C"/>
    <w:rsid w:val="00A03539"/>
    <w:rsid w:val="00A03661"/>
    <w:rsid w:val="00A072DE"/>
    <w:rsid w:val="00A1267B"/>
    <w:rsid w:val="00A14158"/>
    <w:rsid w:val="00A336F9"/>
    <w:rsid w:val="00A476B3"/>
    <w:rsid w:val="00A529FA"/>
    <w:rsid w:val="00A5683E"/>
    <w:rsid w:val="00A65EB1"/>
    <w:rsid w:val="00A679DA"/>
    <w:rsid w:val="00A71EFC"/>
    <w:rsid w:val="00A7366E"/>
    <w:rsid w:val="00A842A3"/>
    <w:rsid w:val="00A84A8E"/>
    <w:rsid w:val="00A91561"/>
    <w:rsid w:val="00A9202B"/>
    <w:rsid w:val="00AA0194"/>
    <w:rsid w:val="00AA325D"/>
    <w:rsid w:val="00AA3453"/>
    <w:rsid w:val="00AB0ED3"/>
    <w:rsid w:val="00AB1F92"/>
    <w:rsid w:val="00AC020A"/>
    <w:rsid w:val="00AC17A2"/>
    <w:rsid w:val="00AC4900"/>
    <w:rsid w:val="00AC76EF"/>
    <w:rsid w:val="00AD29D2"/>
    <w:rsid w:val="00AD3DC8"/>
    <w:rsid w:val="00AD4AAA"/>
    <w:rsid w:val="00AF2BE0"/>
    <w:rsid w:val="00AF7802"/>
    <w:rsid w:val="00B07F9F"/>
    <w:rsid w:val="00B210E1"/>
    <w:rsid w:val="00B21DF5"/>
    <w:rsid w:val="00B27063"/>
    <w:rsid w:val="00B27D68"/>
    <w:rsid w:val="00B31173"/>
    <w:rsid w:val="00B36059"/>
    <w:rsid w:val="00B40B8D"/>
    <w:rsid w:val="00B4142A"/>
    <w:rsid w:val="00B414AD"/>
    <w:rsid w:val="00B47728"/>
    <w:rsid w:val="00B4773C"/>
    <w:rsid w:val="00B47C09"/>
    <w:rsid w:val="00B51F1A"/>
    <w:rsid w:val="00B63B47"/>
    <w:rsid w:val="00B70B68"/>
    <w:rsid w:val="00B72623"/>
    <w:rsid w:val="00B75E6B"/>
    <w:rsid w:val="00B81A31"/>
    <w:rsid w:val="00B85BBA"/>
    <w:rsid w:val="00B8711D"/>
    <w:rsid w:val="00B9380C"/>
    <w:rsid w:val="00B93F21"/>
    <w:rsid w:val="00B963AB"/>
    <w:rsid w:val="00B96C16"/>
    <w:rsid w:val="00B96E45"/>
    <w:rsid w:val="00BA1779"/>
    <w:rsid w:val="00BA20E5"/>
    <w:rsid w:val="00BB3142"/>
    <w:rsid w:val="00BB7E25"/>
    <w:rsid w:val="00BC41ED"/>
    <w:rsid w:val="00BC4F3C"/>
    <w:rsid w:val="00BC54BC"/>
    <w:rsid w:val="00BE01A7"/>
    <w:rsid w:val="00BE1FE6"/>
    <w:rsid w:val="00BE657C"/>
    <w:rsid w:val="00BF0A16"/>
    <w:rsid w:val="00BF0F7A"/>
    <w:rsid w:val="00BF17EB"/>
    <w:rsid w:val="00C02876"/>
    <w:rsid w:val="00C02C05"/>
    <w:rsid w:val="00C05FBA"/>
    <w:rsid w:val="00C25206"/>
    <w:rsid w:val="00C31C5F"/>
    <w:rsid w:val="00C37DF5"/>
    <w:rsid w:val="00C44DF2"/>
    <w:rsid w:val="00C46325"/>
    <w:rsid w:val="00C47AEF"/>
    <w:rsid w:val="00C549D7"/>
    <w:rsid w:val="00C575BA"/>
    <w:rsid w:val="00C5762E"/>
    <w:rsid w:val="00C61B26"/>
    <w:rsid w:val="00C73619"/>
    <w:rsid w:val="00C76FD0"/>
    <w:rsid w:val="00C84DFF"/>
    <w:rsid w:val="00C92F61"/>
    <w:rsid w:val="00C95354"/>
    <w:rsid w:val="00CA29F5"/>
    <w:rsid w:val="00CA2D56"/>
    <w:rsid w:val="00CB244A"/>
    <w:rsid w:val="00CB4AC7"/>
    <w:rsid w:val="00CB5667"/>
    <w:rsid w:val="00CC053B"/>
    <w:rsid w:val="00CC17F6"/>
    <w:rsid w:val="00CC1D6E"/>
    <w:rsid w:val="00CC5454"/>
    <w:rsid w:val="00CD0AD5"/>
    <w:rsid w:val="00CD3DE9"/>
    <w:rsid w:val="00CD595F"/>
    <w:rsid w:val="00CD6110"/>
    <w:rsid w:val="00CD69A7"/>
    <w:rsid w:val="00CD7F3B"/>
    <w:rsid w:val="00CE61B0"/>
    <w:rsid w:val="00CF2CF0"/>
    <w:rsid w:val="00CF6922"/>
    <w:rsid w:val="00CF739D"/>
    <w:rsid w:val="00CF73A2"/>
    <w:rsid w:val="00D13082"/>
    <w:rsid w:val="00D13C3C"/>
    <w:rsid w:val="00D15461"/>
    <w:rsid w:val="00D201A1"/>
    <w:rsid w:val="00D273DD"/>
    <w:rsid w:val="00D36BD2"/>
    <w:rsid w:val="00D443ED"/>
    <w:rsid w:val="00D44997"/>
    <w:rsid w:val="00D610D4"/>
    <w:rsid w:val="00D63686"/>
    <w:rsid w:val="00D63FAA"/>
    <w:rsid w:val="00D66EE2"/>
    <w:rsid w:val="00D71DAC"/>
    <w:rsid w:val="00D73333"/>
    <w:rsid w:val="00D73B16"/>
    <w:rsid w:val="00D74196"/>
    <w:rsid w:val="00D7550D"/>
    <w:rsid w:val="00D771E3"/>
    <w:rsid w:val="00D80F9D"/>
    <w:rsid w:val="00D83533"/>
    <w:rsid w:val="00D854FC"/>
    <w:rsid w:val="00D90B1F"/>
    <w:rsid w:val="00D91058"/>
    <w:rsid w:val="00D91C1C"/>
    <w:rsid w:val="00D91FA0"/>
    <w:rsid w:val="00D923AB"/>
    <w:rsid w:val="00D946DB"/>
    <w:rsid w:val="00D94A75"/>
    <w:rsid w:val="00DA0A72"/>
    <w:rsid w:val="00DA1EC9"/>
    <w:rsid w:val="00DA7535"/>
    <w:rsid w:val="00DB0C65"/>
    <w:rsid w:val="00DB5636"/>
    <w:rsid w:val="00DB6B79"/>
    <w:rsid w:val="00DB7073"/>
    <w:rsid w:val="00DC3E53"/>
    <w:rsid w:val="00DC6464"/>
    <w:rsid w:val="00DD3F72"/>
    <w:rsid w:val="00DD65FF"/>
    <w:rsid w:val="00DE0114"/>
    <w:rsid w:val="00DE05B5"/>
    <w:rsid w:val="00DE16DF"/>
    <w:rsid w:val="00DF01DF"/>
    <w:rsid w:val="00DF154B"/>
    <w:rsid w:val="00DF182C"/>
    <w:rsid w:val="00DF1BB6"/>
    <w:rsid w:val="00DF3470"/>
    <w:rsid w:val="00DF3A3F"/>
    <w:rsid w:val="00DF409E"/>
    <w:rsid w:val="00DF42DF"/>
    <w:rsid w:val="00E02CC3"/>
    <w:rsid w:val="00E02D97"/>
    <w:rsid w:val="00E03C61"/>
    <w:rsid w:val="00E04FCD"/>
    <w:rsid w:val="00E072E3"/>
    <w:rsid w:val="00E10BE1"/>
    <w:rsid w:val="00E12877"/>
    <w:rsid w:val="00E15380"/>
    <w:rsid w:val="00E167C7"/>
    <w:rsid w:val="00E1706E"/>
    <w:rsid w:val="00E20596"/>
    <w:rsid w:val="00E25F53"/>
    <w:rsid w:val="00E33065"/>
    <w:rsid w:val="00E3338B"/>
    <w:rsid w:val="00E35C9C"/>
    <w:rsid w:val="00E40743"/>
    <w:rsid w:val="00E4145E"/>
    <w:rsid w:val="00E4395E"/>
    <w:rsid w:val="00E448A0"/>
    <w:rsid w:val="00E44927"/>
    <w:rsid w:val="00E45DA7"/>
    <w:rsid w:val="00E46C71"/>
    <w:rsid w:val="00E4779C"/>
    <w:rsid w:val="00E64050"/>
    <w:rsid w:val="00E64D7D"/>
    <w:rsid w:val="00E71BC2"/>
    <w:rsid w:val="00E7306E"/>
    <w:rsid w:val="00E75DD7"/>
    <w:rsid w:val="00E80931"/>
    <w:rsid w:val="00E870F0"/>
    <w:rsid w:val="00E87143"/>
    <w:rsid w:val="00E9058D"/>
    <w:rsid w:val="00E92DDF"/>
    <w:rsid w:val="00E97208"/>
    <w:rsid w:val="00EB147A"/>
    <w:rsid w:val="00EB3249"/>
    <w:rsid w:val="00EC3211"/>
    <w:rsid w:val="00EC3DC8"/>
    <w:rsid w:val="00EC7845"/>
    <w:rsid w:val="00ED0403"/>
    <w:rsid w:val="00ED048E"/>
    <w:rsid w:val="00ED3973"/>
    <w:rsid w:val="00EE3158"/>
    <w:rsid w:val="00EE5A67"/>
    <w:rsid w:val="00EE675D"/>
    <w:rsid w:val="00EE7337"/>
    <w:rsid w:val="00F03578"/>
    <w:rsid w:val="00F046C6"/>
    <w:rsid w:val="00F10022"/>
    <w:rsid w:val="00F11129"/>
    <w:rsid w:val="00F27445"/>
    <w:rsid w:val="00F27EB1"/>
    <w:rsid w:val="00F346CD"/>
    <w:rsid w:val="00F36308"/>
    <w:rsid w:val="00F409BA"/>
    <w:rsid w:val="00F41E40"/>
    <w:rsid w:val="00F4359A"/>
    <w:rsid w:val="00F43A8E"/>
    <w:rsid w:val="00F45CDD"/>
    <w:rsid w:val="00F57DD0"/>
    <w:rsid w:val="00F61BD0"/>
    <w:rsid w:val="00F633CA"/>
    <w:rsid w:val="00F92FC5"/>
    <w:rsid w:val="00FA10DE"/>
    <w:rsid w:val="00FA257A"/>
    <w:rsid w:val="00FC1919"/>
    <w:rsid w:val="00FC687B"/>
    <w:rsid w:val="00FD1FFA"/>
    <w:rsid w:val="00FE5677"/>
    <w:rsid w:val="00FE599E"/>
    <w:rsid w:val="00FF013C"/>
    <w:rsid w:val="00FF124F"/>
    <w:rsid w:val="00FF6164"/>
    <w:rsid w:val="00FF7064"/>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8F4E"/>
  <w15:docId w15:val="{D1069A2D-64DE-4DF4-8FB3-B3684A81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hu-HU" w:bidi="ar-SA"/>
      </w:rPr>
    </w:rPrDefault>
    <w:pPrDefault>
      <w:pPr>
        <w:spacing w:line="288"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E9D"/>
    <w:rPr>
      <w:lang w:val="en-US" w:eastAsia="en-US"/>
    </w:rPr>
  </w:style>
  <w:style w:type="paragraph" w:styleId="Heading1">
    <w:name w:val="heading 1"/>
    <w:basedOn w:val="Normal"/>
    <w:next w:val="Normal"/>
    <w:qFormat/>
    <w:rsid w:val="00317E9D"/>
    <w:pPr>
      <w:numPr>
        <w:numId w:val="3"/>
      </w:numPr>
      <w:ind w:left="567" w:hanging="567"/>
      <w:outlineLvl w:val="0"/>
    </w:pPr>
    <w:rPr>
      <w:kern w:val="28"/>
    </w:rPr>
  </w:style>
  <w:style w:type="paragraph" w:styleId="Heading2">
    <w:name w:val="heading 2"/>
    <w:basedOn w:val="Normal"/>
    <w:next w:val="Normal"/>
    <w:qFormat/>
    <w:rsid w:val="00317E9D"/>
    <w:pPr>
      <w:numPr>
        <w:ilvl w:val="1"/>
        <w:numId w:val="3"/>
      </w:numPr>
      <w:ind w:left="567" w:hanging="567"/>
      <w:outlineLvl w:val="1"/>
    </w:pPr>
  </w:style>
  <w:style w:type="paragraph" w:styleId="Heading3">
    <w:name w:val="heading 3"/>
    <w:basedOn w:val="Normal"/>
    <w:next w:val="Normal"/>
    <w:qFormat/>
    <w:rsid w:val="00317E9D"/>
    <w:pPr>
      <w:numPr>
        <w:ilvl w:val="2"/>
        <w:numId w:val="3"/>
      </w:numPr>
      <w:ind w:left="567" w:hanging="567"/>
      <w:outlineLvl w:val="2"/>
    </w:pPr>
  </w:style>
  <w:style w:type="paragraph" w:styleId="Heading4">
    <w:name w:val="heading 4"/>
    <w:basedOn w:val="Normal"/>
    <w:next w:val="Normal"/>
    <w:qFormat/>
    <w:rsid w:val="00317E9D"/>
    <w:pPr>
      <w:numPr>
        <w:ilvl w:val="3"/>
        <w:numId w:val="3"/>
      </w:numPr>
      <w:ind w:left="567" w:hanging="567"/>
      <w:outlineLvl w:val="3"/>
    </w:pPr>
  </w:style>
  <w:style w:type="paragraph" w:styleId="Heading5">
    <w:name w:val="heading 5"/>
    <w:basedOn w:val="Normal"/>
    <w:next w:val="Normal"/>
    <w:qFormat/>
    <w:rsid w:val="00317E9D"/>
    <w:pPr>
      <w:numPr>
        <w:ilvl w:val="4"/>
        <w:numId w:val="3"/>
      </w:numPr>
      <w:ind w:left="567" w:hanging="567"/>
      <w:outlineLvl w:val="4"/>
    </w:pPr>
  </w:style>
  <w:style w:type="paragraph" w:styleId="Heading6">
    <w:name w:val="heading 6"/>
    <w:basedOn w:val="Normal"/>
    <w:next w:val="Normal"/>
    <w:qFormat/>
    <w:rsid w:val="00317E9D"/>
    <w:pPr>
      <w:numPr>
        <w:ilvl w:val="5"/>
        <w:numId w:val="3"/>
      </w:numPr>
      <w:ind w:left="567" w:hanging="567"/>
      <w:outlineLvl w:val="5"/>
    </w:pPr>
  </w:style>
  <w:style w:type="paragraph" w:styleId="Heading7">
    <w:name w:val="heading 7"/>
    <w:basedOn w:val="Normal"/>
    <w:next w:val="Normal"/>
    <w:link w:val="Heading7Char"/>
    <w:qFormat/>
    <w:rsid w:val="00317E9D"/>
    <w:pPr>
      <w:numPr>
        <w:ilvl w:val="6"/>
        <w:numId w:val="3"/>
      </w:numPr>
      <w:ind w:left="567" w:hanging="567"/>
      <w:outlineLvl w:val="6"/>
    </w:pPr>
  </w:style>
  <w:style w:type="paragraph" w:styleId="Heading8">
    <w:name w:val="heading 8"/>
    <w:basedOn w:val="Normal"/>
    <w:next w:val="Normal"/>
    <w:link w:val="Heading8Char"/>
    <w:qFormat/>
    <w:rsid w:val="00317E9D"/>
    <w:pPr>
      <w:numPr>
        <w:ilvl w:val="7"/>
        <w:numId w:val="3"/>
      </w:numPr>
      <w:ind w:left="567" w:hanging="567"/>
      <w:outlineLvl w:val="7"/>
    </w:pPr>
  </w:style>
  <w:style w:type="paragraph" w:styleId="Heading9">
    <w:name w:val="heading 9"/>
    <w:basedOn w:val="Normal"/>
    <w:next w:val="Normal"/>
    <w:link w:val="Heading9Char"/>
    <w:qFormat/>
    <w:rsid w:val="00317E9D"/>
    <w:pPr>
      <w:numPr>
        <w:ilvl w:val="8"/>
        <w:numId w:val="3"/>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Revision">
    <w:name w:val="Revision"/>
    <w:hidden/>
    <w:uiPriority w:val="99"/>
    <w:semiHidden/>
    <w:rsid w:val="00E9058D"/>
    <w:pPr>
      <w:spacing w:line="240" w:lineRule="auto"/>
      <w:jc w:val="left"/>
    </w:pPr>
  </w:style>
  <w:style w:type="paragraph" w:customStyle="1" w:styleId="quotes">
    <w:name w:val="quotes"/>
    <w:basedOn w:val="Normal"/>
    <w:next w:val="Normal"/>
    <w:rsid w:val="00317E9D"/>
    <w:pPr>
      <w:ind w:left="720"/>
    </w:pPr>
    <w:rPr>
      <w:i/>
    </w:rPr>
  </w:style>
  <w:style w:type="character" w:styleId="Hyperlink">
    <w:name w:val="Hyperlink"/>
    <w:aliases w:val="Char1, Char1"/>
    <w:basedOn w:val="DefaultParagraphFont"/>
    <w:uiPriority w:val="99"/>
    <w:unhideWhenUsed/>
    <w:rsid w:val="004006D9"/>
    <w:rPr>
      <w:color w:val="0000FF" w:themeColor="hyperlink"/>
      <w:u w:val="single"/>
    </w:rPr>
  </w:style>
  <w:style w:type="paragraph" w:styleId="FootnoteText">
    <w:name w:val="footnote text"/>
    <w:basedOn w:val="Normal"/>
    <w:link w:val="FootnoteTextChar"/>
    <w:qFormat/>
    <w:rsid w:val="00317E9D"/>
    <w:pPr>
      <w:keepLines/>
      <w:spacing w:after="60" w:line="240" w:lineRule="auto"/>
      <w:ind w:left="567" w:hanging="567"/>
    </w:pPr>
    <w:rPr>
      <w:sz w:val="16"/>
    </w:rPr>
  </w:style>
  <w:style w:type="character" w:customStyle="1" w:styleId="FootnoteTextChar">
    <w:name w:val="Footnote Text Char"/>
    <w:basedOn w:val="DefaultParagraphFont"/>
    <w:link w:val="FootnoteText"/>
    <w:rsid w:val="003C5DE0"/>
    <w:rPr>
      <w:sz w:val="16"/>
      <w:lang w:val="en-US" w:eastAsia="en-US"/>
    </w:rPr>
  </w:style>
  <w:style w:type="character" w:styleId="FootnoteReference">
    <w:name w:val="footnote reference"/>
    <w:basedOn w:val="DefaultParagraphFont"/>
    <w:unhideWhenUsed/>
    <w:qFormat/>
    <w:rsid w:val="00317E9D"/>
    <w:rPr>
      <w:sz w:val="24"/>
      <w:vertAlign w:val="superscript"/>
    </w:rPr>
  </w:style>
  <w:style w:type="paragraph" w:styleId="Header">
    <w:name w:val="header"/>
    <w:basedOn w:val="Normal"/>
    <w:link w:val="HeaderChar"/>
    <w:qFormat/>
    <w:rsid w:val="00317E9D"/>
  </w:style>
  <w:style w:type="character" w:customStyle="1" w:styleId="HeaderChar">
    <w:name w:val="Header Char"/>
    <w:basedOn w:val="DefaultParagraphFont"/>
    <w:link w:val="Header"/>
    <w:rsid w:val="00CC17F6"/>
    <w:rPr>
      <w:lang w:val="en-US" w:eastAsia="en-US"/>
    </w:rPr>
  </w:style>
  <w:style w:type="paragraph" w:styleId="Footer">
    <w:name w:val="footer"/>
    <w:basedOn w:val="Normal"/>
    <w:link w:val="FooterChar"/>
    <w:qFormat/>
    <w:rsid w:val="00317E9D"/>
  </w:style>
  <w:style w:type="character" w:customStyle="1" w:styleId="FooterChar">
    <w:name w:val="Footer Char"/>
    <w:basedOn w:val="DefaultParagraphFont"/>
    <w:link w:val="Footer"/>
    <w:rsid w:val="00CC17F6"/>
    <w:rPr>
      <w:lang w:val="en-US" w:eastAsia="en-US"/>
    </w:rPr>
  </w:style>
  <w:style w:type="character" w:customStyle="1" w:styleId="Heading7Char">
    <w:name w:val="Heading 7 Char"/>
    <w:basedOn w:val="DefaultParagraphFont"/>
    <w:link w:val="Heading7"/>
    <w:rsid w:val="00C25206"/>
    <w:rPr>
      <w:lang w:val="en-US" w:eastAsia="en-US"/>
    </w:rPr>
  </w:style>
  <w:style w:type="character" w:customStyle="1" w:styleId="Heading8Char">
    <w:name w:val="Heading 8 Char"/>
    <w:basedOn w:val="DefaultParagraphFont"/>
    <w:link w:val="Heading8"/>
    <w:rsid w:val="00C25206"/>
    <w:rPr>
      <w:lang w:val="en-US" w:eastAsia="en-US"/>
    </w:rPr>
  </w:style>
  <w:style w:type="character" w:customStyle="1" w:styleId="Heading9Char">
    <w:name w:val="Heading 9 Char"/>
    <w:basedOn w:val="DefaultParagraphFont"/>
    <w:link w:val="Heading9"/>
    <w:rsid w:val="00C25206"/>
    <w:rPr>
      <w:lang w:val="en-US" w:eastAsia="en-US"/>
    </w:rPr>
  </w:style>
  <w:style w:type="table" w:styleId="TableGrid">
    <w:name w:val="Table Grid"/>
    <w:basedOn w:val="TableNormal"/>
    <w:uiPriority w:val="39"/>
    <w:rsid w:val="002D77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92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35604">
      <w:bodyDiv w:val="1"/>
      <w:marLeft w:val="0"/>
      <w:marRight w:val="0"/>
      <w:marTop w:val="0"/>
      <w:marBottom w:val="0"/>
      <w:divBdr>
        <w:top w:val="none" w:sz="0" w:space="0" w:color="auto"/>
        <w:left w:val="none" w:sz="0" w:space="0" w:color="auto"/>
        <w:bottom w:val="none" w:sz="0" w:space="0" w:color="auto"/>
        <w:right w:val="none" w:sz="0" w:space="0" w:color="auto"/>
      </w:divBdr>
    </w:div>
    <w:div w:id="476999433">
      <w:bodyDiv w:val="1"/>
      <w:marLeft w:val="0"/>
      <w:marRight w:val="0"/>
      <w:marTop w:val="0"/>
      <w:marBottom w:val="0"/>
      <w:divBdr>
        <w:top w:val="none" w:sz="0" w:space="0" w:color="auto"/>
        <w:left w:val="none" w:sz="0" w:space="0" w:color="auto"/>
        <w:bottom w:val="none" w:sz="0" w:space="0" w:color="auto"/>
        <w:right w:val="none" w:sz="0" w:space="0" w:color="auto"/>
      </w:divBdr>
    </w:div>
    <w:div w:id="633370637">
      <w:bodyDiv w:val="1"/>
      <w:marLeft w:val="0"/>
      <w:marRight w:val="0"/>
      <w:marTop w:val="0"/>
      <w:marBottom w:val="0"/>
      <w:divBdr>
        <w:top w:val="none" w:sz="0" w:space="0" w:color="auto"/>
        <w:left w:val="none" w:sz="0" w:space="0" w:color="auto"/>
        <w:bottom w:val="none" w:sz="0" w:space="0" w:color="auto"/>
        <w:right w:val="none" w:sz="0" w:space="0" w:color="auto"/>
      </w:divBdr>
    </w:div>
    <w:div w:id="845359984">
      <w:bodyDiv w:val="1"/>
      <w:marLeft w:val="0"/>
      <w:marRight w:val="0"/>
      <w:marTop w:val="0"/>
      <w:marBottom w:val="0"/>
      <w:divBdr>
        <w:top w:val="none" w:sz="0" w:space="0" w:color="auto"/>
        <w:left w:val="none" w:sz="0" w:space="0" w:color="auto"/>
        <w:bottom w:val="none" w:sz="0" w:space="0" w:color="auto"/>
        <w:right w:val="none" w:sz="0" w:space="0" w:color="auto"/>
      </w:divBdr>
    </w:div>
    <w:div w:id="1076591399">
      <w:bodyDiv w:val="1"/>
      <w:marLeft w:val="0"/>
      <w:marRight w:val="0"/>
      <w:marTop w:val="0"/>
      <w:marBottom w:val="0"/>
      <w:divBdr>
        <w:top w:val="none" w:sz="0" w:space="0" w:color="auto"/>
        <w:left w:val="none" w:sz="0" w:space="0" w:color="auto"/>
        <w:bottom w:val="none" w:sz="0" w:space="0" w:color="auto"/>
        <w:right w:val="none" w:sz="0" w:space="0" w:color="auto"/>
      </w:divBdr>
    </w:div>
    <w:div w:id="1239025215">
      <w:bodyDiv w:val="1"/>
      <w:marLeft w:val="0"/>
      <w:marRight w:val="0"/>
      <w:marTop w:val="0"/>
      <w:marBottom w:val="0"/>
      <w:divBdr>
        <w:top w:val="none" w:sz="0" w:space="0" w:color="auto"/>
        <w:left w:val="none" w:sz="0" w:space="0" w:color="auto"/>
        <w:bottom w:val="none" w:sz="0" w:space="0" w:color="auto"/>
        <w:right w:val="none" w:sz="0" w:space="0" w:color="auto"/>
      </w:divBdr>
    </w:div>
    <w:div w:id="1452165350">
      <w:bodyDiv w:val="1"/>
      <w:marLeft w:val="0"/>
      <w:marRight w:val="0"/>
      <w:marTop w:val="0"/>
      <w:marBottom w:val="0"/>
      <w:divBdr>
        <w:top w:val="none" w:sz="0" w:space="0" w:color="auto"/>
        <w:left w:val="none" w:sz="0" w:space="0" w:color="auto"/>
        <w:bottom w:val="none" w:sz="0" w:space="0" w:color="auto"/>
        <w:right w:val="none" w:sz="0" w:space="0" w:color="auto"/>
      </w:divBdr>
    </w:div>
    <w:div w:id="1660888568">
      <w:bodyDiv w:val="1"/>
      <w:marLeft w:val="0"/>
      <w:marRight w:val="0"/>
      <w:marTop w:val="0"/>
      <w:marBottom w:val="0"/>
      <w:divBdr>
        <w:top w:val="none" w:sz="0" w:space="0" w:color="auto"/>
        <w:left w:val="none" w:sz="0" w:space="0" w:color="auto"/>
        <w:bottom w:val="none" w:sz="0" w:space="0" w:color="auto"/>
        <w:right w:val="none" w:sz="0" w:space="0" w:color="auto"/>
      </w:divBdr>
    </w:div>
    <w:div w:id="1793206056">
      <w:bodyDiv w:val="1"/>
      <w:marLeft w:val="0"/>
      <w:marRight w:val="0"/>
      <w:marTop w:val="0"/>
      <w:marBottom w:val="0"/>
      <w:divBdr>
        <w:top w:val="none" w:sz="0" w:space="0" w:color="auto"/>
        <w:left w:val="none" w:sz="0" w:space="0" w:color="auto"/>
        <w:bottom w:val="none" w:sz="0" w:space="0" w:color="auto"/>
        <w:right w:val="none" w:sz="0" w:space="0" w:color="auto"/>
      </w:divBdr>
    </w:div>
    <w:div w:id="1864856461">
      <w:bodyDiv w:val="1"/>
      <w:marLeft w:val="0"/>
      <w:marRight w:val="0"/>
      <w:marTop w:val="0"/>
      <w:marBottom w:val="0"/>
      <w:divBdr>
        <w:top w:val="none" w:sz="0" w:space="0" w:color="auto"/>
        <w:left w:val="none" w:sz="0" w:space="0" w:color="auto"/>
        <w:bottom w:val="none" w:sz="0" w:space="0" w:color="auto"/>
        <w:right w:val="none" w:sz="0" w:space="0" w:color="auto"/>
      </w:divBdr>
    </w:div>
    <w:div w:id="209940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customXml" Target="../customXml/item4.xml"/><Relationship Id="rId16" Type="http://schemas.openxmlformats.org/officeDocument/2006/relationships/footer" Target="footer1.xml"/><Relationship Id="rId20"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A1BD65E1461F02449288A75AB52E3DDC" ma:contentTypeVersion="7" ma:contentTypeDescription="Defines the documents for Document Manager V2" ma:contentTypeScope="" ma:versionID="dd94ffd0da4f5401f8dcdeedc67a6aba">
  <xsd:schema xmlns:xsd="http://www.w3.org/2001/XMLSchema" xmlns:xs="http://www.w3.org/2001/XMLSchema" xmlns:p="http://schemas.microsoft.com/office/2006/metadata/properties" xmlns:ns2="eff9f743-c5e6-45b1-888b-0c3422c38b02" xmlns:ns3="http://schemas.microsoft.com/sharepoint/v3/fields" xmlns:ns4="16aa8abc-67b2-4537-87f5-9a012d04fb57" targetNamespace="http://schemas.microsoft.com/office/2006/metadata/properties" ma:root="true" ma:fieldsID="56ed3393d9414a8052b795720f7d607d" ns2:_="" ns3:_="" ns4:_="">
    <xsd:import namespace="eff9f743-c5e6-45b1-888b-0c3422c38b02"/>
    <xsd:import namespace="http://schemas.microsoft.com/sharepoint/v3/fields"/>
    <xsd:import namespace="16aa8abc-67b2-4537-87f5-9a012d04fb5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9f743-c5e6-45b1-888b-0c3422c38b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8751358-1c8c-4e10-bba6-66b4f05e7dc9}" ma:internalName="TaxCatchAll" ma:showField="CatchAllData"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8751358-1c8c-4e10-bba6-66b4f05e7dc9}" ma:internalName="TaxCatchAllLabel" ma:readOnly="true" ma:showField="CatchAllDataLabel"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aa8abc-67b2-4537-87f5-9a012d04fb5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eff9f743-c5e6-45b1-888b-0c3422c38b02">PWMHTDDKQ3QZ-2021419539-7600</_dlc_DocId>
    <_dlc_DocIdUrl xmlns="eff9f743-c5e6-45b1-888b-0c3422c38b02">
      <Url>http://dm/cor/2023/_layouts/15/DocIdRedir.aspx?ID=PWMHTDDKQ3QZ-2021419539-7600</Url>
      <Description>PWMHTDDKQ3QZ-2021419539-7600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eff9f743-c5e6-45b1-888b-0c3422c38b02"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eff9f743-c5e6-45b1-888b-0c3422c38b02">2024-04-25T12:00:00+00:00</ProductionDate>
    <FicheYear xmlns="eff9f743-c5e6-45b1-888b-0c3422c38b02" xsi:nil="true"/>
    <DocumentNumber xmlns="16aa8abc-67b2-4537-87f5-9a012d04fb57">4406</DocumentNumber>
    <DossierNumber xmlns="eff9f743-c5e6-45b1-888b-0c3422c38b02">43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eff9f743-c5e6-45b1-888b-0c3422c38b02" xsi:nil="true"/>
    <TaxCatchAll xmlns="eff9f743-c5e6-45b1-888b-0c3422c38b02">
      <Value>79</Value>
      <Value>38</Value>
      <Value>36</Value>
      <Value>35</Value>
      <Value>33</Value>
      <Value>32</Value>
      <Value>31</Value>
      <Value>119</Value>
      <Value>28</Value>
      <Value>27</Value>
      <Value>26</Value>
      <Value>25</Value>
      <Value>24</Value>
      <Value>23</Value>
      <Value>22</Value>
      <Value>21</Value>
      <Value>20</Value>
      <Value>19</Value>
      <Value>18</Value>
      <Value>17</Value>
      <Value>16</Value>
      <Value>15</Value>
      <Value>14</Value>
      <Value>13</Value>
      <Value>10</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eff9f743-c5e6-45b1-888b-0c3422c38b02">RIBÁNYI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eff9f743-c5e6-45b1-888b-0c3422c38b02">2023</DocumentYear>
    <FicheNumber xmlns="eff9f743-c5e6-45b1-888b-0c3422c38b02">4619</FicheNumber>
    <OriginalSender xmlns="eff9f743-c5e6-45b1-888b-0c3422c38b02">
      <UserInfo>
        <DisplayName>TDriveSVCUserProd</DisplayName>
        <AccountId>1467</AccountId>
        <AccountType/>
      </UserInfo>
    </OriginalSender>
    <DocumentPart xmlns="eff9f743-c5e6-45b1-888b-0c3422c38b02">0</DocumentPart>
    <AdoptionDate xmlns="eff9f743-c5e6-45b1-888b-0c3422c38b02">2024-04-17T12:00:00+00:00</AdoptionDate>
    <RequestingService xmlns="eff9f743-c5e6-45b1-888b-0c3422c38b02">Commission ENVE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6aa8abc-67b2-4537-87f5-9a012d04fb5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ENVE-VII</TermName>
          <TermId xmlns="http://schemas.microsoft.com/office/infopath/2007/PartnerControls">6ee8e51f-c3cc-464b-aceb-beb6545d7e0a</TermId>
        </TermInfo>
      </Terms>
    </DossierName_0>
    <DocumentVersion xmlns="eff9f743-c5e6-45b1-888b-0c3422c38b02">0</DocumentVersion>
  </documentManagement>
</p:properties>
</file>

<file path=customXml/itemProps1.xml><?xml version="1.0" encoding="utf-8"?>
<ds:datastoreItem xmlns:ds="http://schemas.openxmlformats.org/officeDocument/2006/customXml" ds:itemID="{972F2724-4269-4793-AF5D-5C1FDDBD5241}"/>
</file>

<file path=customXml/itemProps2.xml><?xml version="1.0" encoding="utf-8"?>
<ds:datastoreItem xmlns:ds="http://schemas.openxmlformats.org/officeDocument/2006/customXml" ds:itemID="{1768B102-BD33-4731-957F-7517B32F145F}"/>
</file>

<file path=customXml/itemProps3.xml><?xml version="1.0" encoding="utf-8"?>
<ds:datastoreItem xmlns:ds="http://schemas.openxmlformats.org/officeDocument/2006/customXml" ds:itemID="{2CA365F2-DBAD-4985-9BE2-EDF5257514B4}"/>
</file>

<file path=customXml/itemProps4.xml><?xml version="1.0" encoding="utf-8"?>
<ds:datastoreItem xmlns:ds="http://schemas.openxmlformats.org/officeDocument/2006/customXml" ds:itemID="{584FCBED-D527-4E48-89FC-284E3164B30D}"/>
</file>

<file path=docProps/app.xml><?xml version="1.0" encoding="utf-8"?>
<Properties xmlns="http://schemas.openxmlformats.org/officeDocument/2006/extended-properties" xmlns:vt="http://schemas.openxmlformats.org/officeDocument/2006/docPropsVTypes">
  <Template>Normal</Template>
  <TotalTime>0</TotalTime>
  <Pages>1</Pages>
  <Words>2956</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Localising energy production: the role of geothermal energy</vt:lpstr>
    </vt:vector>
  </TitlesOfParts>
  <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Localising energy production: the role of geothermal energy </dc:title>
  <dc:subject>Committee opinion</dc:subject>
  <dc:creator>SET-UP project</dc:creator>
  <cp:keywords>COR-2023-04406-00-00-AC-TRA-EN</cp:keywords>
  <dc:description>Rapporteur: - RIBÁNYI Original language: - EN Date of document: - 25/04/2024 Date of meeting: -  External documents: -  Administrator responsible: -  GIALOGLOU Kyriakos</dc:description>
  <cp:lastModifiedBy>TDriveSVCUserProd</cp:lastModifiedBy>
  <cp:revision>5</cp:revision>
  <cp:lastPrinted>2024-04-24T11:29:00Z</cp:lastPrinted>
  <dcterms:created xsi:type="dcterms:W3CDTF">2024-04-25T07:15:00Z</dcterms:created>
  <dcterms:modified xsi:type="dcterms:W3CDTF">2024-04-25T07:17:00Z</dcterms:modified>
  <cp:category>ENVE-VII/43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25/04/2024, 13/02/2024, 11/01/2024</vt:lpwstr>
  </property>
  <property fmtid="{D5CDD505-2E9C-101B-9397-08002B2CF9AE}" pid="4" name="Pref_Time">
    <vt:lpwstr>08:54:48, 12:15:22, 15:54:39</vt:lpwstr>
  </property>
  <property fmtid="{D5CDD505-2E9C-101B-9397-08002B2CF9AE}" pid="5" name="Pref_User">
    <vt:lpwstr>jhvi, enied, amett</vt:lpwstr>
  </property>
  <property fmtid="{D5CDD505-2E9C-101B-9397-08002B2CF9AE}" pid="6" name="Pref_FileName">
    <vt:lpwstr>COR-2023-04406-00-00-AC-TRA-EN-CRR.docx, COR-2023-04406-00-00-PAC-TRA-EN-CRR.docx, COR-2023-04406-00-00-PA-ORI.docx</vt:lpwstr>
  </property>
  <property fmtid="{D5CDD505-2E9C-101B-9397-08002B2CF9AE}" pid="7" name="ContentTypeId">
    <vt:lpwstr>0x010100EA97B91038054C99906057A708A1480A00A1BD65E1461F02449288A75AB52E3DDC</vt:lpwstr>
  </property>
  <property fmtid="{D5CDD505-2E9C-101B-9397-08002B2CF9AE}" pid="8" name="_dlc_DocIdItemGuid">
    <vt:lpwstr>5ab28816-daea-4e0b-b95e-3294b5519dd1</vt:lpwstr>
  </property>
  <property fmtid="{D5CDD505-2E9C-101B-9397-08002B2CF9AE}" pid="9" name="AvailableTranslations">
    <vt:lpwstr>26;#LV|46f7e311-5d9f-4663-b433-18aeccb7ace7;#28;#BG|1a1b3951-7821-4e6a-85f5-5673fc08bd2c;#24;#FR|d2afafd3-4c81-4f60-8f52-ee33f2f54ff3;#10;#SV|c2ed69e7-a339-43d7-8f22-d93680a92aa0;#27;#ET|ff6c3f4c-b02c-4c3c-ab07-2c37995a7a0a;#36;#LT|a7ff5ce7-6123-4f68-865a-a57c31810414;#4;#EN|f2175f21-25d7-44a3-96da-d6a61b075e1b;#20;#NL|55c6556c-b4f4-441d-9acf-c498d4f838bd;#22;#HU|6b229040-c589-4408-b4c1-4285663d20a8;#33;#SL|98a412ae-eb01-49e9-ae3d-585a81724cfc;#13;#MT|7df99101-6854-4a26-b53a-b88c0da02c26;#14;#RO|feb747a2-64cd-4299-af12-4833ddc30497;#23;#PT|50ccc04a-eadd-42ae-a0cb-acaf45f812ba;#17;#DE|f6b31e5a-26fa-4935-b661-318e46daf27e;#32;#FI|87606a43-d45f-42d6-b8c9-e1a3457db5b7;#38;#GA|762d2456-c427-4ecb-b312-af3dad8e258c;#15;#DA|5d49c027-8956-412b-aa16-e85a0f96ad0e;#19;#SK|46d9fce0-ef79-4f71-b89b-cd6aa82426b8;#16;#IT|0774613c-01ed-4e5d-a25d-11d2388de825;#18;#PL|1e03da61-4678-4e07-b136-b5024ca9197b;#35;#EL|6d4f4d51-af9b-4650-94b4-4276bee85c91;#25;#ES|e7a6b05b-ae16-40c8-add9-68b64b03aeba;#31;#HR|2f555653-ed1a-4fe6-8362-9082d95989e5;#21;#CS|72f9705b-0217-4fd3-bea2-cbc7ed80e26e</vt:lpwstr>
  </property>
  <property fmtid="{D5CDD505-2E9C-101B-9397-08002B2CF9AE}" pid="10" name="DocumentType_0">
    <vt:lpwstr>AC|a4cc1d15-fb08-4679-ad46-e4e0cba5fe92</vt:lpwstr>
  </property>
  <property fmtid="{D5CDD505-2E9C-101B-9397-08002B2CF9AE}" pid="11" name="DossierName_0">
    <vt:lpwstr>ENVE-VII|6ee8e51f-c3cc-464b-aceb-beb6545d7e0a</vt:lpwstr>
  </property>
  <property fmtid="{D5CDD505-2E9C-101B-9397-08002B2CF9AE}" pid="12" name="DocumentSource_0">
    <vt:lpwstr>CoR|cb2d75ef-4a7d-4393-b797-49ed6298a5ea</vt:lpwstr>
  </property>
  <property fmtid="{D5CDD505-2E9C-101B-9397-08002B2CF9AE}" pid="13" name="DocumentNumber">
    <vt:i4>4406</vt:i4>
  </property>
  <property fmtid="{D5CDD505-2E9C-101B-9397-08002B2CF9AE}" pid="14" name="FicheYear">
    <vt:i4>2023</vt:i4>
  </property>
  <property fmtid="{D5CDD505-2E9C-101B-9397-08002B2CF9AE}" pid="15" name="DocumentVersion">
    <vt:i4>0</vt:i4>
  </property>
  <property fmtid="{D5CDD505-2E9C-101B-9397-08002B2CF9AE}" pid="16" name="DossierNumber">
    <vt:i4>43</vt:i4>
  </property>
  <property fmtid="{D5CDD505-2E9C-101B-9397-08002B2CF9AE}" pid="17" name="DocumentStatus">
    <vt:lpwstr>2;#TRA|150d2a88-1431-44e6-a8ca-0bb753ab8672</vt:lpwstr>
  </property>
  <property fmtid="{D5CDD505-2E9C-101B-9397-08002B2CF9AE}" pid="18" name="DossierName">
    <vt:lpwstr>79;#ENVE-VII|6ee8e51f-c3cc-464b-aceb-beb6545d7e0a</vt:lpwstr>
  </property>
  <property fmtid="{D5CDD505-2E9C-101B-9397-08002B2CF9AE}" pid="19" name="RequestingService">
    <vt:lpwstr>Commission ENVE</vt:lpwstr>
  </property>
  <property fmtid="{D5CDD505-2E9C-101B-9397-08002B2CF9AE}" pid="20" name="Confidentiality">
    <vt:lpwstr>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79;#ENVE-VII|6ee8e51f-c3cc-464b-aceb-beb6545d7e0a;#7;#Final|ea5e6674-7b27-4bac-b091-73adbb394efe;#5;#Unrestricted|826e22d7-d029-4ec0-a450-0c28ff673572;#4;#EN|f2175f21-25d7-44a3-96da-d6a61b075e1b;#2;#TRA|150d2a88-1431-44e6-a8ca-0bb753ab8672;#1;#CoR|cb2d75ef-4a7d-4393-b797-49ed6298a5ea;#119;#AC|a4cc1d15-fb08-4679-ad46-e4e0cba5fe92</vt:lpwstr>
  </property>
  <property fmtid="{D5CDD505-2E9C-101B-9397-08002B2CF9AE}" pid="30" name="Rapporteur">
    <vt:lpwstr>RIBÁNYI</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2023</vt:i4>
  </property>
  <property fmtid="{D5CDD505-2E9C-101B-9397-08002B2CF9AE}" pid="34" name="FicheNumber">
    <vt:i4>4619</vt:i4>
  </property>
  <property fmtid="{D5CDD505-2E9C-101B-9397-08002B2CF9AE}" pid="35" name="DocumentPart">
    <vt:i4>0</vt:i4>
  </property>
  <property fmtid="{D5CDD505-2E9C-101B-9397-08002B2CF9AE}" pid="36" name="DocumentSource">
    <vt:lpwstr>1;#CoR|cb2d75ef-4a7d-4393-b797-49ed6298a5ea</vt:lpwstr>
  </property>
  <property fmtid="{D5CDD505-2E9C-101B-9397-08002B2CF9AE}" pid="37" name="AdoptionDate">
    <vt:filetime>2024-04-17T12:00:00Z</vt:filetime>
  </property>
  <property fmtid="{D5CDD505-2E9C-101B-9397-08002B2CF9AE}" pid="38" name="DocumentType">
    <vt:lpwstr>119;#AC|a4cc1d15-fb08-4679-ad46-e4e0cba5fe92</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