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Pr="005D37EB" w:rsidR="000D6A84" w:rsidTr="006D78CA" w14:paraId="3610863D" w14:textId="77777777">
        <w:trPr>
          <w:cantSplit/>
        </w:trPr>
        <w:tc>
          <w:tcPr>
            <w:tcW w:w="4644" w:type="dxa"/>
          </w:tcPr>
          <w:p w:rsidRPr="003B54C5" w:rsidR="000D6A84" w:rsidP="001B33A4" w:rsidRDefault="000D6A84" w14:paraId="418167B5" w14:textId="04426870">
            <w:bookmarkStart w:name="_GoBack" w:id="0"/>
            <w:bookmarkEnd w:id="0"/>
            <w:r w:rsidRPr="00A4317B">
              <w:rPr>
                <w:noProof/>
              </w:rPr>
              <w:drawing>
                <wp:inline distT="0" distB="0" distL="0" distR="0" wp14:anchorId="504E12B2" wp14:editId="5E3B7C61">
                  <wp:extent cx="1800000" cy="1559336"/>
                  <wp:effectExtent l="0" t="0" r="0" b="3175"/>
                  <wp:docPr id="37" name="Picture 37"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r w:rsidR="001B28F7">
              <w:rPr>
                <w:noProof/>
                <w:sz w:val="20"/>
              </w:rPr>
              <mc:AlternateContent>
                <mc:Choice Requires="wps">
                  <w:drawing>
                    <wp:anchor distT="0" distB="0" distL="114300" distR="114300" simplePos="0" relativeHeight="251663360" behindDoc="1" locked="0" layoutInCell="0" allowOverlap="1" wp14:editId="4EB1F32F" wp14:anchorId="02AD5567">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B28F7" w:rsidRDefault="001B28F7" w14:paraId="187CBBEE"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2AD5567">
                      <v:stroke joinstyle="miter"/>
                      <v:path gradientshapeok="t" o:connecttype="rect"/>
                    </v:shapetype>
                    <v:shape id="Text Box 17" style="position:absolute;left:0;text-align:left;margin-left:533pt;margin-top:793.8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B28F7" w:rsidRDefault="001B28F7" w14:paraId="187CBBEE"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tc>
        <w:tc>
          <w:tcPr>
            <w:tcW w:w="4645" w:type="dxa"/>
          </w:tcPr>
          <w:p w:rsidRPr="005D37EB" w:rsidR="000D6A84" w:rsidP="001B33A4" w:rsidRDefault="000D6A84" w14:paraId="1C7455E9" w14:textId="77777777"/>
        </w:tc>
      </w:tr>
      <w:tr w:rsidRPr="005D37EB" w:rsidR="00444A98" w:rsidTr="006D78CA" w14:paraId="55E48AD3" w14:textId="77777777">
        <w:trPr>
          <w:cantSplit/>
        </w:trPr>
        <w:tc>
          <w:tcPr>
            <w:tcW w:w="9289" w:type="dxa"/>
            <w:gridSpan w:val="2"/>
          </w:tcPr>
          <w:p w:rsidRPr="005D37EB" w:rsidR="00444A98" w:rsidP="003A043C" w:rsidRDefault="00FF527D" w14:paraId="32FAADA6" w14:textId="1FDA54C5">
            <w:pPr>
              <w:jc w:val="right"/>
              <w:rPr>
                <w:b/>
                <w:bCs/>
                <w:sz w:val="28"/>
              </w:rPr>
            </w:pPr>
            <w:r w:rsidRPr="005D37EB">
              <w:rPr>
                <w:b/>
                <w:bCs/>
                <w:sz w:val="28"/>
              </w:rPr>
              <w:t>SEDEC-VII/0</w:t>
            </w:r>
            <w:r w:rsidRPr="005D37EB" w:rsidR="00E8000C">
              <w:rPr>
                <w:b/>
                <w:bCs/>
                <w:sz w:val="28"/>
              </w:rPr>
              <w:t>47</w:t>
            </w:r>
            <w:r w:rsidRPr="005D37EB" w:rsidR="00444A98">
              <w:rPr>
                <w:b/>
                <w:bCs/>
                <w:sz w:val="28"/>
              </w:rPr>
              <w:t xml:space="preserve"> </w:t>
            </w:r>
          </w:p>
        </w:tc>
      </w:tr>
      <w:tr w:rsidRPr="005D37EB" w:rsidR="00444A98" w:rsidTr="006D78CA" w14:paraId="38017C10" w14:textId="77777777">
        <w:tc>
          <w:tcPr>
            <w:tcW w:w="9289" w:type="dxa"/>
            <w:gridSpan w:val="2"/>
          </w:tcPr>
          <w:p w:rsidRPr="005D37EB" w:rsidR="00444A98" w:rsidP="003A043C" w:rsidRDefault="00AD7EB7" w14:paraId="3BAEB278" w14:textId="617A3329">
            <w:pPr>
              <w:jc w:val="center"/>
              <w:rPr>
                <w:b/>
                <w:bCs/>
                <w:sz w:val="28"/>
              </w:rPr>
            </w:pPr>
            <w:r w:rsidRPr="005D37EB">
              <w:rPr>
                <w:b/>
                <w:bCs/>
                <w:sz w:val="28"/>
              </w:rPr>
              <w:t>162n</w:t>
            </w:r>
            <w:r w:rsidRPr="005D37EB" w:rsidR="00FF527D">
              <w:rPr>
                <w:b/>
                <w:bCs/>
                <w:sz w:val="28"/>
              </w:rPr>
              <w:t xml:space="preserve">d </w:t>
            </w:r>
            <w:r w:rsidRPr="005D37EB">
              <w:rPr>
                <w:b/>
                <w:bCs/>
                <w:sz w:val="28"/>
              </w:rPr>
              <w:t>plenary session</w:t>
            </w:r>
            <w:r w:rsidRPr="005D37EB" w:rsidR="00444A98">
              <w:rPr>
                <w:b/>
                <w:bCs/>
                <w:sz w:val="28"/>
              </w:rPr>
              <w:t xml:space="preserve">, </w:t>
            </w:r>
            <w:r w:rsidRPr="005D37EB" w:rsidR="00814948">
              <w:rPr>
                <w:b/>
                <w:bCs/>
                <w:sz w:val="28"/>
              </w:rPr>
              <w:t>7</w:t>
            </w:r>
            <w:r w:rsidRPr="005D37EB">
              <w:rPr>
                <w:b/>
                <w:bCs/>
                <w:sz w:val="28"/>
              </w:rPr>
              <w:t>-9 October</w:t>
            </w:r>
            <w:r w:rsidRPr="005D37EB" w:rsidR="00FF527D">
              <w:rPr>
                <w:b/>
                <w:bCs/>
                <w:sz w:val="28"/>
              </w:rPr>
              <w:t xml:space="preserve"> 2024</w:t>
            </w:r>
          </w:p>
        </w:tc>
      </w:tr>
    </w:tbl>
    <w:p w:rsidRPr="005D37EB" w:rsidR="00444A98" w:rsidP="003A043C" w:rsidRDefault="00444A98" w14:paraId="2C013CD1" w14:textId="5BC33390"/>
    <w:p w:rsidRPr="005D37EB" w:rsidR="00444A98" w:rsidP="003A043C" w:rsidRDefault="00444A98" w14:paraId="4686F0F2" w14:textId="77777777"/>
    <w:p w:rsidRPr="005D37EB" w:rsidR="001B33A4" w:rsidP="003A043C" w:rsidRDefault="00444A98" w14:paraId="62CCAFFA" w14:textId="6CB35AE2">
      <w:pPr>
        <w:jc w:val="center"/>
        <w:rPr>
          <w:b/>
          <w:bCs/>
          <w:sz w:val="28"/>
        </w:rPr>
      </w:pPr>
      <w:r w:rsidRPr="005D37EB">
        <w:rPr>
          <w:b/>
          <w:bCs/>
          <w:sz w:val="28"/>
        </w:rPr>
        <w:t>OPINION</w:t>
      </w:r>
    </w:p>
    <w:p w:rsidRPr="003B54C5" w:rsidR="001B33A4" w:rsidP="006D78CA" w:rsidRDefault="001B33A4" w14:paraId="6187E322" w14:textId="44D283F3"/>
    <w:p w:rsidRPr="005D37EB" w:rsidR="00444A98" w:rsidP="003A043C" w:rsidRDefault="00833BF0" w14:paraId="35217CF9" w14:textId="33AC36C1">
      <w:pPr>
        <w:jc w:val="center"/>
        <w:rPr>
          <w:sz w:val="28"/>
          <w:szCs w:val="28"/>
        </w:rPr>
      </w:pPr>
      <w:r w:rsidRPr="005D37EB">
        <w:rPr>
          <w:b/>
          <w:bCs/>
          <w:sz w:val="28"/>
          <w:szCs w:val="28"/>
        </w:rPr>
        <w:t>Demographic change in Europe: a toolbox for action</w:t>
      </w:r>
    </w:p>
    <w:p w:rsidRPr="005D37EB" w:rsidR="00AB4D99" w:rsidP="00AB4D99" w:rsidRDefault="00AB4D99" w14:paraId="4A484917" w14:textId="77777777">
      <w:pPr>
        <w:jc w:val="lef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289"/>
      </w:tblGrid>
      <w:tr w:rsidRPr="005D37EB" w:rsidR="00AB4D99" w:rsidTr="0051480E" w14:paraId="19EDBB85" w14:textId="77777777">
        <w:tc>
          <w:tcPr>
            <w:tcW w:w="9289" w:type="dxa"/>
            <w:tcMar>
              <w:top w:w="108" w:type="dxa"/>
            </w:tcMar>
          </w:tcPr>
          <w:p w:rsidRPr="005D37EB" w:rsidR="00AB4D99" w:rsidP="0051480E" w:rsidRDefault="00AB4D99" w14:paraId="011F71A9" w14:textId="1CFEF87C">
            <w:pPr>
              <w:jc w:val="left"/>
            </w:pPr>
            <w:r w:rsidRPr="005D37EB">
              <w:t>THE EUROPEAN COMMITTEE OF THE REGIONS (CoR)</w:t>
            </w:r>
          </w:p>
          <w:p w:rsidRPr="005D37EB" w:rsidR="00AB4D99" w:rsidP="0051480E" w:rsidRDefault="00AB4D99" w14:paraId="2E581EBC" w14:textId="77777777"/>
          <w:p w:rsidRPr="005D37EB" w:rsidR="003F01DE" w:rsidP="001B28F7" w:rsidRDefault="003F01DE" w14:paraId="4A4DE5B4" w14:textId="37B28601">
            <w:pPr>
              <w:numPr>
                <w:ilvl w:val="0"/>
                <w:numId w:val="3"/>
              </w:numPr>
              <w:tabs>
                <w:tab w:val="clear" w:pos="0"/>
              </w:tabs>
              <w:ind w:left="567" w:hanging="567"/>
            </w:pPr>
            <w:r w:rsidRPr="005D37EB">
              <w:t>considers it timely to mainstream demographic change as a transversal challenge into the work of all commissions, and consider the possibility of establishing an interregional group closely cooperating with the European Parliament</w:t>
            </w:r>
            <w:r w:rsidRPr="005D37EB" w:rsidR="00ED6695">
              <w:rPr>
                <w:rFonts w:eastAsia="Aptos"/>
                <w:kern w:val="2"/>
                <w14:ligatures w14:val="standardContextual"/>
              </w:rPr>
              <w:t>’</w:t>
            </w:r>
            <w:r w:rsidRPr="005D37EB">
              <w:t>s relevant intergroup, encouraging the exchange of best practices, and the development of coordinated strategies that take into account a broad spectrum of EU policies, including gender equality;</w:t>
            </w:r>
          </w:p>
          <w:p w:rsidRPr="005D37EB" w:rsidR="003F01DE" w:rsidP="00A4317B" w:rsidRDefault="003F01DE" w14:paraId="297210E5" w14:textId="77777777">
            <w:pPr>
              <w:numPr>
                <w:ilvl w:val="0"/>
                <w:numId w:val="3"/>
              </w:numPr>
              <w:tabs>
                <w:tab w:val="clear" w:pos="0"/>
              </w:tabs>
              <w:ind w:left="567" w:hanging="567"/>
            </w:pPr>
            <w:r w:rsidRPr="005D37EB">
              <w:t>emphasises that the Demography Toolbox introduces key elements explaining the gap between actual and desired family size;</w:t>
            </w:r>
          </w:p>
          <w:p w:rsidRPr="005D37EB" w:rsidR="003F01DE" w:rsidP="00A4317B" w:rsidRDefault="003F01DE" w14:paraId="17FEE741" w14:textId="56CB93D4">
            <w:pPr>
              <w:numPr>
                <w:ilvl w:val="0"/>
                <w:numId w:val="3"/>
              </w:numPr>
              <w:tabs>
                <w:tab w:val="clear" w:pos="0"/>
              </w:tabs>
              <w:ind w:left="567" w:hanging="567"/>
            </w:pPr>
            <w:r w:rsidRPr="005D37EB">
              <w:t xml:space="preserve">stresses the importance of the existing EU cohesion funding tools which can help alleviate the negative effects of demographic change, either as a result of depopulation or overpopulation in regions with strong population pressure,  and welcomes the focus of the </w:t>
            </w:r>
            <w:r w:rsidR="005D37EB">
              <w:t>p</w:t>
            </w:r>
            <w:r w:rsidRPr="005D37EB">
              <w:t>residency of the Council of the EU on demographic issues and its close link with cohesion policies; refers in this context to the CoR work on how to exploit the full potential of cohesion policy to tackle demographic change; underlines that these tools should promote a balanced and enabling approach to demographic issues at an appropriate territorial level;</w:t>
            </w:r>
          </w:p>
          <w:p w:rsidRPr="005D37EB" w:rsidR="00AB4D99" w:rsidP="00A4317B" w:rsidRDefault="003F01DE" w14:paraId="63EACF9C" w14:textId="0D9F2532">
            <w:pPr>
              <w:numPr>
                <w:ilvl w:val="0"/>
                <w:numId w:val="3"/>
              </w:numPr>
              <w:tabs>
                <w:tab w:val="clear" w:pos="0"/>
              </w:tabs>
              <w:ind w:left="567" w:hanging="567"/>
            </w:pPr>
            <w:r w:rsidRPr="005D37EB">
              <w:t>calls on the Member States to consider the establishment of a Permanent Council configuration comprising a group of ministers in charge of demography from the Member States. Such a Council configuration should keep in mind gender equality and the intergenerational dimension, while developing mechanisms for sharing good practices at European level on their national policies to support parents, families, young and elderly women and men and respecting national competences.</w:t>
            </w:r>
          </w:p>
          <w:p w:rsidRPr="005D37EB" w:rsidR="00AB4D99" w:rsidP="0051480E" w:rsidRDefault="00AB4D99" w14:paraId="422B8081" w14:textId="77777777">
            <w:pPr>
              <w:jc w:val="left"/>
            </w:pPr>
          </w:p>
        </w:tc>
      </w:tr>
    </w:tbl>
    <w:p w:rsidRPr="003B54C5" w:rsidR="00444A98" w:rsidRDefault="00AB4D99" w14:paraId="60E5847B" w14:textId="0749170B">
      <w:r w:rsidRPr="00A4317B">
        <w:rPr>
          <w:noProof/>
        </w:rPr>
        <w:drawing>
          <wp:anchor distT="0" distB="0" distL="114300" distR="114300" simplePos="0" relativeHeight="251661312" behindDoc="0" locked="0" layoutInCell="1" allowOverlap="1" wp14:editId="6A9A37BF" wp14:anchorId="2AA3D7CA">
            <wp:simplePos x="0" y="0"/>
            <wp:positionH relativeFrom="column">
              <wp:posOffset>-38250</wp:posOffset>
            </wp:positionH>
            <wp:positionV relativeFrom="page">
              <wp:posOffset>10190539</wp:posOffset>
            </wp:positionV>
            <wp:extent cx="5779135" cy="273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tretch>
                      <a:fillRect/>
                    </a:stretch>
                  </pic:blipFill>
                  <pic:spPr>
                    <a:xfrm>
                      <a:off x="0" y="0"/>
                      <a:ext cx="5779135" cy="273050"/>
                    </a:xfrm>
                    <a:prstGeom prst="rect">
                      <a:avLst/>
                    </a:prstGeom>
                  </pic:spPr>
                </pic:pic>
              </a:graphicData>
            </a:graphic>
            <wp14:sizeRelH relativeFrom="margin">
              <wp14:pctWidth>0</wp14:pctWidth>
            </wp14:sizeRelH>
            <wp14:sizeRelV relativeFrom="margin">
              <wp14:pctHeight>0</wp14:pctHeight>
            </wp14:sizeRelV>
          </wp:anchor>
        </w:drawing>
      </w:r>
    </w:p>
    <w:p w:rsidRPr="005D37EB" w:rsidR="003E1CB2" w:rsidP="000D6A84" w:rsidRDefault="00D56A47" w14:paraId="4FA1622F" w14:textId="5A966C14">
      <w:r w:rsidRPr="00A4317B">
        <w:rPr>
          <w:noProof/>
        </w:rPr>
        <w:drawing>
          <wp:anchor distT="0" distB="0" distL="114300" distR="114300" simplePos="0" relativeHeight="251659264" behindDoc="0" locked="0" layoutInCell="1" allowOverlap="1" wp14:editId="28118BC6" wp14:anchorId="13A9621E">
            <wp:simplePos x="0" y="0"/>
            <wp:positionH relativeFrom="column">
              <wp:posOffset>-4445</wp:posOffset>
            </wp:positionH>
            <wp:positionV relativeFrom="page">
              <wp:posOffset>10204450</wp:posOffset>
            </wp:positionV>
            <wp:extent cx="5759450" cy="272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tretch>
                      <a:fillRect/>
                    </a:stretch>
                  </pic:blipFill>
                  <pic:spPr>
                    <a:xfrm>
                      <a:off x="0" y="0"/>
                      <a:ext cx="5759450" cy="272415"/>
                    </a:xfrm>
                    <a:prstGeom prst="rect">
                      <a:avLst/>
                    </a:prstGeom>
                  </pic:spPr>
                </pic:pic>
              </a:graphicData>
            </a:graphic>
            <wp14:sizeRelH relativeFrom="margin">
              <wp14:pctWidth>0</wp14:pctWidth>
            </wp14:sizeRelH>
            <wp14:sizeRelV relativeFrom="margin">
              <wp14:pctHeight>0</wp14:pctHeight>
            </wp14:sizeRelV>
          </wp:anchor>
        </w:drawing>
      </w:r>
    </w:p>
    <w:p w:rsidRPr="005D37EB" w:rsidR="000D6A84" w:rsidP="000D6A84" w:rsidRDefault="000D6A84" w14:paraId="7D407F5C" w14:textId="49729F6A">
      <w:pPr>
        <w:tabs>
          <w:tab w:val="left" w:pos="440"/>
        </w:tabs>
        <w:ind w:left="440" w:hanging="440"/>
        <w:sectPr w:rsidRPr="005D37EB" w:rsidR="000D6A84" w:rsidSect="001B28F7">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Pr="005D37EB" w:rsidR="00444A98" w:rsidTr="006D78CA" w14:paraId="3F111DF4" w14:textId="77777777">
        <w:trPr>
          <w:trHeight w:val="12474"/>
        </w:trPr>
        <w:tc>
          <w:tcPr>
            <w:tcW w:w="9289" w:type="dxa"/>
            <w:vAlign w:val="bottom"/>
          </w:tcPr>
          <w:p w:rsidRPr="00B8130A" w:rsidR="00AB4D99" w:rsidP="00AB4D99" w:rsidRDefault="00AB4D99" w14:paraId="13DE9C9D" w14:textId="0BD9BEBE">
            <w:pPr>
              <w:jc w:val="left"/>
              <w:rPr>
                <w:b/>
              </w:rPr>
            </w:pPr>
            <w:r w:rsidRPr="00A4317B">
              <w:rPr>
                <w:b/>
                <w:bCs/>
              </w:rPr>
              <w:lastRenderedPageBreak/>
              <w:t>Rapporteur:</w:t>
            </w:r>
          </w:p>
          <w:p w:rsidRPr="005D37EB" w:rsidR="00AB4D99" w:rsidP="00AB4D99" w:rsidRDefault="00AB4D99" w14:paraId="3135A61B" w14:textId="77777777">
            <w:pPr>
              <w:jc w:val="left"/>
              <w:rPr>
                <w:b/>
              </w:rPr>
            </w:pPr>
          </w:p>
          <w:p w:rsidRPr="00B8130A" w:rsidR="00AB4D99" w:rsidP="00AB4D99" w:rsidRDefault="00AB4D99" w14:paraId="1C4B7171" w14:textId="5E2AF63F">
            <w:pPr>
              <w:jc w:val="left"/>
              <w:rPr>
                <w:bCs/>
              </w:rPr>
            </w:pPr>
            <w:r w:rsidRPr="00A4317B">
              <w:rPr>
                <w:bCs/>
              </w:rPr>
              <w:t>János Ádám Karácsony</w:t>
            </w:r>
            <w:r w:rsidRPr="003B54C5">
              <w:rPr>
                <w:bCs/>
              </w:rPr>
              <w:t xml:space="preserve"> (HU/ECR)</w:t>
            </w:r>
          </w:p>
          <w:p w:rsidRPr="00A4317B" w:rsidR="00AB4D99" w:rsidP="00A4317B" w:rsidRDefault="00AB4D99" w14:paraId="5C006209" w14:textId="57095695">
            <w:pPr>
              <w:jc w:val="left"/>
            </w:pPr>
            <w:r w:rsidRPr="00B8130A">
              <w:rPr>
                <w:bCs/>
              </w:rPr>
              <w:t>Vice-President of the County Council of Pest Vármegye</w:t>
            </w:r>
          </w:p>
          <w:p w:rsidRPr="005D37EB" w:rsidR="00AB4D99" w:rsidP="003A043C" w:rsidRDefault="00AB4D99" w14:paraId="3B07BA4F" w14:textId="77777777">
            <w:pPr>
              <w:rPr>
                <w:b/>
                <w:bCs/>
                <w:u w:val="single"/>
              </w:rPr>
            </w:pPr>
          </w:p>
          <w:p w:rsidRPr="005D37EB" w:rsidR="00444A98" w:rsidP="003A043C" w:rsidRDefault="00444A98" w14:paraId="2E62E7E8" w14:textId="14527964">
            <w:pPr>
              <w:rPr>
                <w:b/>
                <w:bCs/>
                <w:u w:val="single"/>
              </w:rPr>
            </w:pPr>
            <w:r w:rsidRPr="005D37EB">
              <w:rPr>
                <w:b/>
                <w:bCs/>
                <w:u w:val="single"/>
              </w:rPr>
              <w:t>Reference document</w:t>
            </w:r>
            <w:r w:rsidRPr="005D37EB" w:rsidR="00320BD8">
              <w:rPr>
                <w:b/>
                <w:bCs/>
                <w:u w:val="single"/>
              </w:rPr>
              <w:t>(s):</w:t>
            </w:r>
          </w:p>
          <w:p w:rsidRPr="005D37EB" w:rsidR="00444A98" w:rsidP="003A043C" w:rsidRDefault="00444A98" w14:paraId="23676FF2" w14:textId="189CD199"/>
          <w:p w:rsidRPr="005D37EB" w:rsidR="00BE6E74" w:rsidP="00BE6E74" w:rsidRDefault="00BE6E74" w14:paraId="17BC5F22" w14:textId="2AE3A707">
            <w:pPr>
              <w:rPr>
                <w:i/>
                <w:iCs/>
              </w:rPr>
            </w:pPr>
            <w:r w:rsidRPr="005D37EB">
              <w:t xml:space="preserve">Communication from the Commission to the European Parliament, the Council, the European Economic and Social Committee and the Committee of the </w:t>
            </w:r>
            <w:r w:rsidRPr="005D37EB">
              <w:rPr>
                <w:i/>
                <w:iCs/>
              </w:rPr>
              <w:t>Regions Demographic change in Europe: a toolbox for action</w:t>
            </w:r>
          </w:p>
          <w:p w:rsidRPr="005D37EB" w:rsidR="00444A98" w:rsidP="003A043C" w:rsidRDefault="00212965" w14:paraId="523E6763" w14:textId="613A8CBA">
            <w:r w:rsidRPr="005D37EB">
              <w:t>(</w:t>
            </w:r>
            <w:r w:rsidRPr="005D37EB" w:rsidR="00BE6E74">
              <w:t>COM(2023)</w:t>
            </w:r>
            <w:r w:rsidRPr="005D37EB" w:rsidR="00272D8D">
              <w:t xml:space="preserve"> </w:t>
            </w:r>
            <w:r w:rsidRPr="005D37EB" w:rsidR="00BE6E74">
              <w:t>577</w:t>
            </w:r>
            <w:r w:rsidRPr="005D37EB">
              <w:t xml:space="preserve"> final)</w:t>
            </w:r>
          </w:p>
        </w:tc>
      </w:tr>
    </w:tbl>
    <w:p w:rsidRPr="005D37EB" w:rsidR="00444A98" w:rsidP="003A043C" w:rsidRDefault="00444A98" w14:paraId="0EB6DD14" w14:textId="77777777"/>
    <w:p w:rsidRPr="005D37EB" w:rsidR="00444A98" w:rsidP="000D1382" w:rsidRDefault="00444A98" w14:paraId="184C0E07" w14:textId="3B773A4B">
      <w:pPr>
        <w:spacing w:line="281" w:lineRule="auto"/>
        <w:jc w:val="center"/>
      </w:pPr>
      <w:r w:rsidRPr="005D37EB">
        <w:rPr>
          <w:rFonts w:ascii="Times New Roman Bold" w:hAnsi="Times New Roman Bold"/>
          <w:b/>
          <w:bCs/>
        </w:rPr>
        <w:br w:type="page"/>
      </w:r>
      <w:r w:rsidRPr="005D37EB" w:rsidR="00AB4D99">
        <w:rPr>
          <w:b/>
        </w:rPr>
        <w:t>O</w:t>
      </w:r>
      <w:r w:rsidRPr="005D37EB">
        <w:rPr>
          <w:b/>
        </w:rPr>
        <w:t xml:space="preserve">pinion of the </w:t>
      </w:r>
      <w:r w:rsidRPr="005D37EB" w:rsidR="00AD7EB7">
        <w:rPr>
          <w:b/>
        </w:rPr>
        <w:t>European Committee of the Regions</w:t>
      </w:r>
      <w:r w:rsidRPr="005D37EB" w:rsidR="004349DF">
        <w:rPr>
          <w:b/>
        </w:rPr>
        <w:t xml:space="preserve"> </w:t>
      </w:r>
      <w:r w:rsidRPr="005D37EB">
        <w:rPr>
          <w:b/>
        </w:rPr>
        <w:t xml:space="preserve">– </w:t>
      </w:r>
      <w:r w:rsidRPr="005D37EB" w:rsidR="00A17A8C">
        <w:rPr>
          <w:b/>
        </w:rPr>
        <w:br/>
      </w:r>
      <w:r w:rsidRPr="005D37EB" w:rsidR="00BE6E74">
        <w:rPr>
          <w:b/>
        </w:rPr>
        <w:t>Demographic change in Europe: a toolbox for action</w:t>
      </w:r>
    </w:p>
    <w:p w:rsidRPr="005D37EB" w:rsidR="00904BD7" w:rsidP="000D1382" w:rsidRDefault="00904BD7" w14:paraId="03D4587C" w14:textId="77777777">
      <w:pPr>
        <w:spacing w:line="281" w:lineRule="auto"/>
      </w:pPr>
    </w:p>
    <w:p w:rsidRPr="005D37EB" w:rsidR="00444A98" w:rsidP="00417692" w:rsidRDefault="00444A98" w14:paraId="110D6A92" w14:textId="77777777">
      <w:pPr>
        <w:keepNext/>
        <w:numPr>
          <w:ilvl w:val="0"/>
          <w:numId w:val="4"/>
        </w:numPr>
        <w:spacing w:line="281" w:lineRule="auto"/>
        <w:ind w:left="567" w:hanging="567"/>
        <w:rPr>
          <w:b/>
        </w:rPr>
      </w:pPr>
      <w:r w:rsidRPr="005D37EB">
        <w:rPr>
          <w:b/>
          <w:bCs/>
        </w:rPr>
        <w:t>POLICY</w:t>
      </w:r>
      <w:r w:rsidRPr="005D37EB">
        <w:rPr>
          <w:b/>
        </w:rPr>
        <w:t xml:space="preserve"> RECOMMENDATIONS</w:t>
      </w:r>
    </w:p>
    <w:p w:rsidRPr="005D37EB" w:rsidR="00444A98" w:rsidP="000D1382" w:rsidRDefault="00444A98" w14:paraId="4ABE1730" w14:textId="564B8CD1">
      <w:pPr>
        <w:keepNext/>
        <w:spacing w:line="281" w:lineRule="auto"/>
      </w:pPr>
    </w:p>
    <w:p w:rsidRPr="005D37EB" w:rsidR="00F342ED" w:rsidP="000D1382" w:rsidRDefault="00F342ED" w14:paraId="08890ABC" w14:textId="49453151">
      <w:pPr>
        <w:keepNext/>
        <w:spacing w:line="281" w:lineRule="auto"/>
      </w:pPr>
      <w:r w:rsidRPr="005D37EB">
        <w:t>THE EUROPEAN COMMITTEE OF THE REGIONS</w:t>
      </w:r>
      <w:r w:rsidRPr="005D37EB" w:rsidR="00320BD8">
        <w:t xml:space="preserve"> (CoR)</w:t>
      </w:r>
    </w:p>
    <w:p w:rsidRPr="005D37EB" w:rsidR="00F342ED" w:rsidP="000D1382" w:rsidRDefault="00F342ED" w14:paraId="2D0031EF" w14:textId="23F1086B">
      <w:pPr>
        <w:keepNext/>
        <w:spacing w:line="281" w:lineRule="auto"/>
      </w:pPr>
    </w:p>
    <w:p w:rsidRPr="005D37EB" w:rsidR="00D43348" w:rsidP="000D1382" w:rsidRDefault="00D43348" w14:paraId="70DCBE1F" w14:textId="33B4D35D">
      <w:pPr>
        <w:keepNext/>
        <w:spacing w:line="281" w:lineRule="auto"/>
        <w:rPr>
          <w:rFonts w:eastAsia="Calibri"/>
          <w:i/>
          <w:iCs/>
          <w:kern w:val="2"/>
          <w14:ligatures w14:val="standardContextual"/>
        </w:rPr>
      </w:pPr>
      <w:r w:rsidRPr="005D37EB">
        <w:rPr>
          <w:rFonts w:eastAsia="Calibri"/>
          <w:i/>
          <w:iCs/>
          <w:kern w:val="2"/>
          <w14:ligatures w14:val="standardContextual"/>
        </w:rPr>
        <w:t>General comments</w:t>
      </w:r>
    </w:p>
    <w:p w:rsidRPr="005D37EB" w:rsidR="00D43348" w:rsidP="000D1382" w:rsidRDefault="00D43348" w14:paraId="3B1D610A" w14:textId="77777777">
      <w:pPr>
        <w:keepNext/>
        <w:spacing w:line="281" w:lineRule="auto"/>
      </w:pPr>
    </w:p>
    <w:p w:rsidRPr="00B8130A" w:rsidR="00455788" w:rsidP="000D1382" w:rsidRDefault="00D43348" w14:paraId="04C41797" w14:textId="3056EF47">
      <w:pPr>
        <w:pStyle w:val="Heading1"/>
        <w:spacing w:line="281" w:lineRule="auto"/>
      </w:pPr>
      <w:r w:rsidRPr="005D37EB">
        <w:rPr>
          <w:rFonts w:eastAsia="Aptos"/>
          <w:kern w:val="2"/>
          <w14:ligatures w14:val="standardContextual"/>
        </w:rPr>
        <w:t xml:space="preserve">considers that, at regional level, the established long-term demographic trends observed in recent years including an ageing population, </w:t>
      </w:r>
      <w:r w:rsidRPr="005D37EB" w:rsidR="007A2114">
        <w:rPr>
          <w:rFonts w:eastAsia="Aptos"/>
          <w:kern w:val="2"/>
          <w14:ligatures w14:val="standardContextual"/>
        </w:rPr>
        <w:t xml:space="preserve">young people moving away, </w:t>
      </w:r>
      <w:r w:rsidRPr="005D37EB">
        <w:rPr>
          <w:rFonts w:eastAsia="Aptos"/>
          <w:kern w:val="2"/>
          <w14:ligatures w14:val="standardContextual"/>
        </w:rPr>
        <w:t xml:space="preserve">fertility gap, low fertility and birth rates and the unequal urban/rural divide of </w:t>
      </w:r>
      <w:r w:rsidRPr="005D37EB" w:rsidR="006E3FE2">
        <w:rPr>
          <w:rFonts w:eastAsia="Aptos"/>
          <w:kern w:val="2"/>
          <w14:ligatures w14:val="standardContextual"/>
        </w:rPr>
        <w:t xml:space="preserve">the </w:t>
      </w:r>
      <w:r w:rsidRPr="005D37EB">
        <w:rPr>
          <w:rFonts w:eastAsia="Aptos"/>
          <w:kern w:val="2"/>
          <w14:ligatures w14:val="standardContextual"/>
        </w:rPr>
        <w:t>population</w:t>
      </w:r>
      <w:r w:rsidRPr="005D37EB" w:rsidR="007A2114">
        <w:t xml:space="preserve"> </w:t>
      </w:r>
      <w:r w:rsidRPr="005D37EB" w:rsidR="007A2114">
        <w:rPr>
          <w:rFonts w:eastAsia="Aptos"/>
          <w:kern w:val="2"/>
          <w14:ligatures w14:val="standardContextual"/>
        </w:rPr>
        <w:t xml:space="preserve">caused by depopulation of rural areas, </w:t>
      </w:r>
      <w:r w:rsidRPr="005D37EB">
        <w:rPr>
          <w:rFonts w:eastAsia="Aptos"/>
          <w:kern w:val="2"/>
          <w14:ligatures w14:val="standardContextual"/>
        </w:rPr>
        <w:t xml:space="preserve">have not </w:t>
      </w:r>
      <w:r w:rsidRPr="005D37EB" w:rsidR="007A2114">
        <w:rPr>
          <w:rFonts w:eastAsia="Aptos"/>
          <w:kern w:val="2"/>
          <w14:ligatures w14:val="standardContextual"/>
        </w:rPr>
        <w:t xml:space="preserve">permanently </w:t>
      </w:r>
      <w:r w:rsidRPr="005D37EB">
        <w:rPr>
          <w:rFonts w:eastAsia="Aptos"/>
          <w:kern w:val="2"/>
          <w14:ligatures w14:val="standardContextual"/>
        </w:rPr>
        <w:t>changed</w:t>
      </w:r>
      <w:r w:rsidRPr="005D37EB" w:rsidR="007A2114">
        <w:t xml:space="preserve"> </w:t>
      </w:r>
      <w:r w:rsidRPr="005D37EB" w:rsidR="007A2114">
        <w:rPr>
          <w:rFonts w:eastAsia="Aptos"/>
          <w:kern w:val="2"/>
          <w14:ligatures w14:val="standardContextual"/>
        </w:rPr>
        <w:t>for the better, although they have in many cases become more pronounced;</w:t>
      </w:r>
      <w:r w:rsidRPr="005D37EB">
        <w:rPr>
          <w:rFonts w:eastAsia="Aptos"/>
          <w:kern w:val="2"/>
          <w14:ligatures w14:val="standardContextual"/>
        </w:rPr>
        <w:t xml:space="preserve"> regions must therefore adapt to these trends and make every effort to at least mitigate </w:t>
      </w:r>
      <w:r w:rsidRPr="005D37EB" w:rsidR="007A2114">
        <w:rPr>
          <w:rFonts w:eastAsia="Aptos"/>
          <w:kern w:val="2"/>
          <w14:ligatures w14:val="standardContextual"/>
        </w:rPr>
        <w:t>their negative</w:t>
      </w:r>
      <w:r w:rsidRPr="005D37EB">
        <w:rPr>
          <w:rFonts w:eastAsia="Aptos"/>
          <w:kern w:val="2"/>
          <w14:ligatures w14:val="standardContextual"/>
        </w:rPr>
        <w:t xml:space="preserve"> effects</w:t>
      </w:r>
      <w:r w:rsidRPr="005D37EB" w:rsidR="007A2114">
        <w:rPr>
          <w:rFonts w:eastAsia="Aptos"/>
          <w:kern w:val="2"/>
          <w14:ligatures w14:val="standardContextual"/>
        </w:rPr>
        <w:t>. Migration is a significant factor in demographic change in Europe. In 2022, 5.1</w:t>
      </w:r>
      <w:r w:rsidR="005D37EB">
        <w:rPr>
          <w:rFonts w:eastAsia="Aptos"/>
          <w:kern w:val="2"/>
          <w14:ligatures w14:val="standardContextual"/>
        </w:rPr>
        <w:t> </w:t>
      </w:r>
      <w:r w:rsidRPr="005D37EB" w:rsidR="007A2114">
        <w:rPr>
          <w:rFonts w:eastAsia="Aptos"/>
          <w:kern w:val="2"/>
          <w14:ligatures w14:val="standardContextual"/>
        </w:rPr>
        <w:t>million migrants arrived in the EU from non-EU countries and 1.5</w:t>
      </w:r>
      <w:r w:rsidR="005D37EB">
        <w:rPr>
          <w:rFonts w:eastAsia="Aptos"/>
          <w:kern w:val="2"/>
          <w14:ligatures w14:val="standardContextual"/>
        </w:rPr>
        <w:t> </w:t>
      </w:r>
      <w:r w:rsidRPr="005D37EB" w:rsidR="007A2114">
        <w:rPr>
          <w:rFonts w:eastAsia="Aptos"/>
          <w:kern w:val="2"/>
          <w14:ligatures w14:val="standardContextual"/>
        </w:rPr>
        <w:t>million people previously residing in one EU Member State migrated to another Member State</w:t>
      </w:r>
      <w:r w:rsidRPr="003B54C5" w:rsidR="007A2114">
        <w:rPr>
          <w:rStyle w:val="FootnoteReference"/>
          <w:rFonts w:eastAsia="Aptos"/>
          <w:kern w:val="2"/>
          <w14:ligatures w14:val="standardContextual"/>
        </w:rPr>
        <w:footnoteReference w:id="1"/>
      </w:r>
      <w:r w:rsidRPr="003B54C5" w:rsidR="00D54CA4">
        <w:t>;</w:t>
      </w:r>
    </w:p>
    <w:p w:rsidRPr="005D37EB" w:rsidR="003A0544" w:rsidP="000D1382" w:rsidRDefault="003A0544" w14:paraId="38FDECB1" w14:textId="36C0D03F">
      <w:pPr>
        <w:pStyle w:val="Heading2"/>
        <w:numPr>
          <w:ilvl w:val="0"/>
          <w:numId w:val="0"/>
        </w:numPr>
        <w:spacing w:line="281" w:lineRule="auto"/>
        <w:ind w:left="720" w:hanging="720"/>
      </w:pPr>
    </w:p>
    <w:p w:rsidRPr="005D37EB" w:rsidR="00D43348" w:rsidP="000D1382" w:rsidRDefault="00D43348" w14:paraId="4248920F" w14:textId="37CDF4F1">
      <w:pPr>
        <w:pStyle w:val="Heading1"/>
        <w:spacing w:line="281" w:lineRule="auto"/>
        <w:rPr>
          <w:rFonts w:eastAsia="Aptos"/>
          <w:kern w:val="2"/>
          <w14:ligatures w14:val="standardContextual"/>
        </w:rPr>
      </w:pPr>
      <w:r w:rsidRPr="005D37EB">
        <w:rPr>
          <w:rFonts w:eastAsia="Aptos"/>
          <w:kern w:val="2"/>
          <w14:ligatures w14:val="standardContextual"/>
        </w:rPr>
        <w:t>considers that the projected impact of demographic change on the social market economy of the EU continues to include shrinking working-age population, an ageing population, increased pressure on public budgets and increased territorial disparities due to depopulation</w:t>
      </w:r>
      <w:r w:rsidRPr="005D37EB" w:rsidR="00117D42">
        <w:rPr>
          <w:rFonts w:eastAsia="Aptos"/>
          <w:kern w:val="2"/>
          <w14:ligatures w14:val="standardContextual"/>
        </w:rPr>
        <w:t xml:space="preserve">, </w:t>
      </w:r>
      <w:r w:rsidRPr="005D37EB">
        <w:rPr>
          <w:rFonts w:eastAsia="Aptos"/>
          <w:kern w:val="2"/>
          <w14:ligatures w14:val="standardContextual"/>
        </w:rPr>
        <w:t>brain drain</w:t>
      </w:r>
      <w:r w:rsidRPr="005D37EB" w:rsidR="00117D42">
        <w:t xml:space="preserve"> </w:t>
      </w:r>
      <w:r w:rsidRPr="005D37EB" w:rsidR="00117D42">
        <w:rPr>
          <w:rFonts w:eastAsia="Aptos"/>
          <w:kern w:val="2"/>
          <w14:ligatures w14:val="standardContextual"/>
        </w:rPr>
        <w:t>and the difficulties of these people returning</w:t>
      </w:r>
      <w:r w:rsidRPr="005D37EB">
        <w:rPr>
          <w:rFonts w:eastAsia="Aptos"/>
          <w:kern w:val="2"/>
          <w14:ligatures w14:val="standardContextual"/>
        </w:rPr>
        <w:t>;</w:t>
      </w:r>
    </w:p>
    <w:p w:rsidRPr="005D37EB" w:rsidR="00D43348" w:rsidP="000D1382" w:rsidRDefault="00D43348" w14:paraId="75181A85" w14:textId="77777777">
      <w:pPr>
        <w:spacing w:line="281" w:lineRule="auto"/>
        <w:rPr>
          <w:rFonts w:eastAsia="Aptos"/>
        </w:rPr>
      </w:pPr>
    </w:p>
    <w:p w:rsidRPr="005D37EB" w:rsidR="00D43348" w:rsidP="000D1382" w:rsidRDefault="00D43348" w14:paraId="38BE4EB0" w14:textId="7E37353F">
      <w:pPr>
        <w:pStyle w:val="Heading1"/>
        <w:spacing w:line="281" w:lineRule="auto"/>
        <w:rPr>
          <w:rFonts w:eastAsia="Aptos"/>
          <w:kern w:val="2"/>
          <w14:ligatures w14:val="standardContextual"/>
        </w:rPr>
      </w:pPr>
      <w:r w:rsidRPr="005D37EB">
        <w:rPr>
          <w:rFonts w:eastAsia="Aptos"/>
          <w:kern w:val="2"/>
          <w14:ligatures w14:val="standardContextual"/>
        </w:rPr>
        <w:t>underlines that in 2023 82 regions were deemed to be in or at risk of falling into a talent development trap</w:t>
      </w:r>
      <w:r w:rsidRPr="003B54C5">
        <w:rPr>
          <w:rFonts w:eastAsia="Aptos"/>
          <w:kern w:val="2"/>
          <w:sz w:val="24"/>
          <w:szCs w:val="24"/>
          <w:vertAlign w:val="superscript"/>
          <w14:ligatures w14:val="standardContextual"/>
        </w:rPr>
        <w:footnoteReference w:id="2"/>
      </w:r>
      <w:r w:rsidRPr="003B54C5">
        <w:rPr>
          <w:rFonts w:eastAsia="Aptos"/>
          <w:kern w:val="2"/>
          <w:vertAlign w:val="superscript"/>
          <w14:ligatures w14:val="standardContextual"/>
        </w:rPr>
        <w:t xml:space="preserve"> </w:t>
      </w:r>
      <w:r w:rsidRPr="00B8130A">
        <w:rPr>
          <w:rFonts w:eastAsia="Aptos"/>
          <w:kern w:val="2"/>
          <w14:ligatures w14:val="standardContextual"/>
        </w:rPr>
        <w:t>and in 2020 in the EU one sixth of all regions had a shrinking population</w:t>
      </w:r>
      <w:r w:rsidRPr="003B54C5">
        <w:rPr>
          <w:rFonts w:eastAsia="Aptos"/>
          <w:kern w:val="2"/>
          <w:sz w:val="24"/>
          <w:szCs w:val="24"/>
          <w:vertAlign w:val="superscript"/>
          <w14:ligatures w14:val="standardContextual"/>
        </w:rPr>
        <w:footnoteReference w:id="3"/>
      </w:r>
      <w:r w:rsidRPr="003B54C5" w:rsidR="00117D42">
        <w:rPr>
          <w:rFonts w:eastAsia="Aptos"/>
          <w:kern w:val="2"/>
          <w14:ligatures w14:val="standardContextual"/>
        </w:rPr>
        <w:t>.</w:t>
      </w:r>
      <w:r w:rsidRPr="00B8130A" w:rsidR="00117D42">
        <w:rPr>
          <w:rFonts w:eastAsia="Aptos"/>
          <w:kern w:val="2"/>
          <w14:ligatures w14:val="standardContextual"/>
        </w:rPr>
        <w:t>These developments underscore the urgent need for sustainable development policies to support vibrant, well-integrated and resilient rural communities, which meet the needs of their current and potential new inhabitants hoping to start a family, while acknowledging that some islands, cities and metropolitan regions are experiencing strong demographic growth and face the challenge of overpopulation that generates hig</w:t>
      </w:r>
      <w:r w:rsidRPr="005D37EB" w:rsidR="00117D42">
        <w:rPr>
          <w:rFonts w:eastAsia="Aptos"/>
          <w:kern w:val="2"/>
          <w14:ligatures w14:val="standardContextual"/>
        </w:rPr>
        <w:t>h pressure on the territory, public resources and services</w:t>
      </w:r>
      <w:r w:rsidRPr="005D37EB">
        <w:rPr>
          <w:rFonts w:eastAsia="Aptos"/>
          <w:kern w:val="2"/>
          <w14:ligatures w14:val="standardContextual"/>
        </w:rPr>
        <w:t>;</w:t>
      </w:r>
    </w:p>
    <w:p w:rsidRPr="005D37EB" w:rsidR="00D43348" w:rsidP="000D1382" w:rsidRDefault="00D43348" w14:paraId="77DD7ED7" w14:textId="77777777">
      <w:pPr>
        <w:spacing w:line="281" w:lineRule="auto"/>
        <w:rPr>
          <w:rFonts w:eastAsia="Aptos"/>
        </w:rPr>
      </w:pPr>
    </w:p>
    <w:p w:rsidRPr="00B8130A" w:rsidR="00D43348" w:rsidP="000D1382" w:rsidRDefault="00D43348" w14:paraId="0757F432" w14:textId="733A989D">
      <w:pPr>
        <w:pStyle w:val="Heading1"/>
        <w:spacing w:line="281" w:lineRule="auto"/>
        <w:rPr>
          <w:rFonts w:eastAsia="Aptos"/>
          <w:kern w:val="2"/>
          <w14:ligatures w14:val="standardContextual"/>
        </w:rPr>
      </w:pPr>
      <w:r w:rsidRPr="005D37EB">
        <w:rPr>
          <w:rFonts w:eastAsia="Aptos"/>
          <w:kern w:val="2"/>
          <w14:ligatures w14:val="standardContextual"/>
        </w:rPr>
        <w:t>stresses that in 2020 the average number of childbirths per woman was 1.5, which is well below the value of 2.1 required to maintain a stable population</w:t>
      </w:r>
      <w:r w:rsidRPr="003B54C5">
        <w:rPr>
          <w:rFonts w:eastAsia="Aptos"/>
          <w:kern w:val="2"/>
          <w:sz w:val="24"/>
          <w:szCs w:val="24"/>
          <w:vertAlign w:val="superscript"/>
          <w14:ligatures w14:val="standardContextual"/>
        </w:rPr>
        <w:footnoteReference w:id="4"/>
      </w:r>
      <w:r w:rsidRPr="003B54C5" w:rsidR="00762816">
        <w:rPr>
          <w:rFonts w:eastAsia="Aptos"/>
          <w:kern w:val="2"/>
          <w14:ligatures w14:val="standardContextual"/>
        </w:rPr>
        <w:t>,</w:t>
      </w:r>
      <w:r w:rsidRPr="00B8130A">
        <w:rPr>
          <w:rFonts w:eastAsia="Aptos"/>
          <w:kern w:val="2"/>
          <w14:ligatures w14:val="standardContextual"/>
        </w:rPr>
        <w:t xml:space="preserve"> the mean age of women at birth of first child increased to a value of 29.7 in 2021</w:t>
      </w:r>
      <w:r w:rsidRPr="003B54C5">
        <w:rPr>
          <w:rFonts w:eastAsia="Aptos"/>
          <w:kern w:val="2"/>
          <w:sz w:val="24"/>
          <w:szCs w:val="24"/>
          <w:vertAlign w:val="superscript"/>
          <w14:ligatures w14:val="standardContextual"/>
        </w:rPr>
        <w:footnoteReference w:id="5"/>
      </w:r>
      <w:r w:rsidRPr="003B54C5">
        <w:rPr>
          <w:rFonts w:eastAsia="Aptos"/>
          <w:kern w:val="2"/>
          <w:vertAlign w:val="superscript"/>
          <w14:ligatures w14:val="standardContextual"/>
        </w:rPr>
        <w:t xml:space="preserve"> </w:t>
      </w:r>
      <w:r w:rsidRPr="00B8130A">
        <w:rPr>
          <w:rFonts w:eastAsia="Aptos"/>
          <w:kern w:val="2"/>
          <w14:ligatures w14:val="standardContextual"/>
        </w:rPr>
        <w:t>while the share of households with children has generally declined in the EU over the last years</w:t>
      </w:r>
      <w:r w:rsidRPr="003B54C5">
        <w:rPr>
          <w:rFonts w:eastAsia="Aptos"/>
          <w:kern w:val="2"/>
          <w:sz w:val="24"/>
          <w:szCs w:val="24"/>
          <w:vertAlign w:val="superscript"/>
          <w14:ligatures w14:val="standardContextual"/>
        </w:rPr>
        <w:footnoteReference w:id="6"/>
      </w:r>
      <w:r w:rsidRPr="003B54C5" w:rsidR="006F555B">
        <w:rPr>
          <w:rFonts w:eastAsia="Aptos"/>
          <w:kern w:val="2"/>
          <w14:ligatures w14:val="standardContextual"/>
        </w:rPr>
        <w:t xml:space="preserve">. </w:t>
      </w:r>
      <w:r w:rsidRPr="00B8130A" w:rsidR="006F555B">
        <w:rPr>
          <w:rFonts w:eastAsia="Aptos"/>
          <w:kern w:val="2"/>
          <w14:ligatures w14:val="standardContextual"/>
        </w:rPr>
        <w:t>In 2022, the total fertility was 1.46 live births per woman, almost half of children born were born to first-time mothers and 22% of children were born to mothers who were not born in the reporting country, but in another EU country or outside the EU</w:t>
      </w:r>
      <w:r w:rsidRPr="005D37EB" w:rsidR="006F555B">
        <w:rPr>
          <w:rFonts w:eastAsia="Aptos"/>
          <w:kern w:val="2"/>
          <w14:ligatures w14:val="standardContextual"/>
        </w:rPr>
        <w:t xml:space="preserve">. There </w:t>
      </w:r>
      <w:r w:rsidRPr="005D37EB">
        <w:rPr>
          <w:rFonts w:eastAsia="Aptos"/>
          <w:kern w:val="2"/>
          <w14:ligatures w14:val="standardContextual"/>
        </w:rPr>
        <w:t>is a growing trend of young people to postpone the decision to start a family or limit its size</w:t>
      </w:r>
      <w:r w:rsidRPr="005D37EB" w:rsidR="00285908">
        <w:rPr>
          <w:rFonts w:eastAsia="Aptos"/>
          <w:kern w:val="2"/>
          <w14:ligatures w14:val="standardContextual"/>
        </w:rPr>
        <w:t>. The complexity of the matter is illustrated by the fact that a notable proportion of</w:t>
      </w:r>
      <w:r w:rsidRPr="005D37EB">
        <w:rPr>
          <w:rFonts w:eastAsia="Aptos"/>
          <w:kern w:val="2"/>
          <w14:ligatures w14:val="standardContextual"/>
        </w:rPr>
        <w:t xml:space="preserve"> </w:t>
      </w:r>
      <w:r w:rsidRPr="005D37EB" w:rsidR="006F555B">
        <w:rPr>
          <w:rFonts w:eastAsia="Aptos"/>
          <w:kern w:val="2"/>
          <w14:ligatures w14:val="standardContextual"/>
        </w:rPr>
        <w:t xml:space="preserve">especially highly educated </w:t>
      </w:r>
      <w:r w:rsidRPr="005D37EB">
        <w:rPr>
          <w:rFonts w:eastAsia="Aptos"/>
          <w:kern w:val="2"/>
          <w14:ligatures w14:val="standardContextual"/>
        </w:rPr>
        <w:t>women</w:t>
      </w:r>
      <w:r w:rsidRPr="005D37EB" w:rsidR="006E3FE2">
        <w:rPr>
          <w:rFonts w:eastAsia="Aptos"/>
          <w:kern w:val="2"/>
          <w14:ligatures w14:val="standardContextual"/>
        </w:rPr>
        <w:t xml:space="preserve"> </w:t>
      </w:r>
      <w:r w:rsidRPr="005D37EB">
        <w:rPr>
          <w:rFonts w:eastAsia="Aptos"/>
          <w:kern w:val="2"/>
          <w14:ligatures w14:val="standardContextual"/>
        </w:rPr>
        <w:t>indicate they would want to have more children than they actually do</w:t>
      </w:r>
      <w:r w:rsidRPr="005D37EB" w:rsidR="00285908">
        <w:rPr>
          <w:rFonts w:eastAsia="Aptos"/>
          <w:kern w:val="2"/>
          <w14:ligatures w14:val="standardContextual"/>
        </w:rPr>
        <w:t xml:space="preserve"> – a gap influenced by factors such as the difficulty o</w:t>
      </w:r>
      <w:r w:rsidRPr="005D37EB" w:rsidR="00DC3366">
        <w:rPr>
          <w:rFonts w:eastAsia="Aptos"/>
          <w:kern w:val="2"/>
          <w14:ligatures w14:val="standardContextual"/>
        </w:rPr>
        <w:t>f</w:t>
      </w:r>
      <w:r w:rsidRPr="005D37EB" w:rsidR="00285908">
        <w:rPr>
          <w:rFonts w:eastAsia="Aptos"/>
          <w:kern w:val="2"/>
          <w14:ligatures w14:val="standardContextual"/>
        </w:rPr>
        <w:t xml:space="preserve"> reconcil</w:t>
      </w:r>
      <w:r w:rsidRPr="005D37EB" w:rsidR="00DC3366">
        <w:rPr>
          <w:rFonts w:eastAsia="Aptos"/>
          <w:kern w:val="2"/>
          <w14:ligatures w14:val="standardContextual"/>
        </w:rPr>
        <w:t>ing</w:t>
      </w:r>
      <w:r w:rsidRPr="005D37EB" w:rsidR="00285908">
        <w:rPr>
          <w:rFonts w:eastAsia="Aptos"/>
          <w:kern w:val="2"/>
          <w14:ligatures w14:val="standardContextual"/>
        </w:rPr>
        <w:t xml:space="preserve"> work and care responsibilities, economic and social insecurity linked to employment prospects, the cost of living and housing or gender inequalities</w:t>
      </w:r>
      <w:r w:rsidRPr="003B54C5">
        <w:rPr>
          <w:rFonts w:eastAsia="Aptos"/>
          <w:kern w:val="2"/>
          <w:sz w:val="24"/>
          <w:szCs w:val="24"/>
          <w:vertAlign w:val="superscript"/>
          <w14:ligatures w14:val="standardContextual"/>
        </w:rPr>
        <w:footnoteReference w:id="7"/>
      </w:r>
      <w:r w:rsidRPr="003B54C5">
        <w:rPr>
          <w:rFonts w:eastAsia="Aptos"/>
          <w:kern w:val="2"/>
          <w14:ligatures w14:val="standardContextual"/>
        </w:rPr>
        <w:t>;</w:t>
      </w:r>
    </w:p>
    <w:p w:rsidRPr="005D37EB" w:rsidR="00D43348" w:rsidP="000D1382" w:rsidRDefault="00D43348" w14:paraId="75D4C8B3" w14:textId="77777777">
      <w:pPr>
        <w:spacing w:line="281" w:lineRule="auto"/>
        <w:rPr>
          <w:rFonts w:eastAsia="Aptos"/>
        </w:rPr>
      </w:pPr>
    </w:p>
    <w:p w:rsidRPr="005D37EB" w:rsidR="00D43348" w:rsidP="000D1382" w:rsidRDefault="00D43348" w14:paraId="543FDFD4" w14:textId="29FDC1C9">
      <w:pPr>
        <w:pStyle w:val="Heading1"/>
        <w:spacing w:line="281" w:lineRule="auto"/>
        <w:rPr>
          <w:rFonts w:eastAsia="Aptos"/>
          <w:kern w:val="2"/>
          <w14:ligatures w14:val="standardContextual"/>
        </w:rPr>
      </w:pPr>
      <w:r w:rsidRPr="005D37EB">
        <w:rPr>
          <w:rFonts w:eastAsia="Aptos"/>
          <w:kern w:val="2"/>
          <w14:ligatures w14:val="standardContextual"/>
        </w:rPr>
        <w:t xml:space="preserve">stresses that the employment rate for persons aged 15 to 29 </w:t>
      </w:r>
      <w:r w:rsidRPr="005D37EB" w:rsidR="001900FA">
        <w:rPr>
          <w:rFonts w:eastAsia="Aptos"/>
          <w:kern w:val="2"/>
          <w14:ligatures w14:val="standardContextual"/>
        </w:rPr>
        <w:t xml:space="preserve">in the EU </w:t>
      </w:r>
      <w:r w:rsidRPr="005D37EB">
        <w:rPr>
          <w:rFonts w:eastAsia="Aptos"/>
          <w:kern w:val="2"/>
          <w14:ligatures w14:val="standardContextual"/>
        </w:rPr>
        <w:t>remains worryingly low, at 49</w:t>
      </w:r>
      <w:r w:rsidRPr="005D37EB" w:rsidR="006E3FE2">
        <w:rPr>
          <w:rFonts w:eastAsia="Aptos"/>
          <w:kern w:val="2"/>
          <w14:ligatures w14:val="standardContextual"/>
        </w:rPr>
        <w:t>.</w:t>
      </w:r>
      <w:r w:rsidRPr="005D37EB">
        <w:rPr>
          <w:rFonts w:eastAsia="Aptos"/>
          <w:kern w:val="2"/>
          <w14:ligatures w14:val="standardContextual"/>
        </w:rPr>
        <w:t xml:space="preserve">7% in 2023 for men and women, and in 2022 </w:t>
      </w:r>
      <w:r w:rsidRPr="005D37EB" w:rsidR="001900FA">
        <w:rPr>
          <w:rFonts w:eastAsia="Aptos"/>
          <w:kern w:val="2"/>
          <w14:ligatures w14:val="standardContextual"/>
        </w:rPr>
        <w:t xml:space="preserve">12.5% of women and 10.1% </w:t>
      </w:r>
      <w:r w:rsidRPr="005D37EB">
        <w:rPr>
          <w:rFonts w:eastAsia="Aptos"/>
          <w:kern w:val="2"/>
          <w14:ligatures w14:val="standardContextual"/>
        </w:rPr>
        <w:t xml:space="preserve">of </w:t>
      </w:r>
      <w:r w:rsidRPr="005D37EB" w:rsidR="001900FA">
        <w:rPr>
          <w:rFonts w:eastAsia="Aptos"/>
          <w:kern w:val="2"/>
          <w14:ligatures w14:val="standardContextual"/>
        </w:rPr>
        <w:t xml:space="preserve">men aged </w:t>
      </w:r>
      <w:r w:rsidRPr="005D37EB">
        <w:rPr>
          <w:rFonts w:eastAsia="Aptos"/>
          <w:kern w:val="2"/>
          <w14:ligatures w14:val="standardContextual"/>
        </w:rPr>
        <w:t xml:space="preserve">15-29 in the EU were neither in employment nor in education </w:t>
      </w:r>
      <w:r w:rsidRPr="005D37EB" w:rsidR="00DC3366">
        <w:rPr>
          <w:rFonts w:eastAsia="Aptos"/>
          <w:kern w:val="2"/>
          <w14:ligatures w14:val="standardContextual"/>
        </w:rPr>
        <w:t>or</w:t>
      </w:r>
      <w:r w:rsidRPr="005D37EB">
        <w:rPr>
          <w:rFonts w:eastAsia="Aptos"/>
          <w:kern w:val="2"/>
          <w14:ligatures w14:val="standardContextual"/>
        </w:rPr>
        <w:t xml:space="preserve"> training (NEET)</w:t>
      </w:r>
      <w:r w:rsidRPr="003B54C5">
        <w:rPr>
          <w:rFonts w:eastAsia="Aptos"/>
          <w:kern w:val="2"/>
          <w:sz w:val="24"/>
          <w:szCs w:val="24"/>
          <w:vertAlign w:val="superscript"/>
          <w14:ligatures w14:val="standardContextual"/>
        </w:rPr>
        <w:footnoteReference w:id="8"/>
      </w:r>
      <w:r w:rsidRPr="003B54C5" w:rsidR="001900FA">
        <w:rPr>
          <w:rFonts w:eastAsia="Aptos"/>
          <w:kern w:val="2"/>
          <w14:ligatures w14:val="standardContextual"/>
        </w:rPr>
        <w:t xml:space="preserve">. </w:t>
      </w:r>
      <w:r w:rsidRPr="00B8130A" w:rsidR="001900FA">
        <w:rPr>
          <w:rFonts w:eastAsia="Aptos"/>
          <w:iCs/>
          <w:kern w:val="2"/>
          <w14:ligatures w14:val="standardContextual"/>
        </w:rPr>
        <w:t>In all EU Member States, women have a lower employment rate than men, and there are also considerable differences between European countries with regard to men’s and women’s employment rates. Moreover,</w:t>
      </w:r>
      <w:r w:rsidRPr="005D37EB" w:rsidR="001900FA">
        <w:rPr>
          <w:rFonts w:eastAsia="Aptos"/>
          <w:iCs/>
          <w:kern w:val="2"/>
          <w14:ligatures w14:val="standardContextual"/>
        </w:rPr>
        <w:t xml:space="preserve"> the CoR</w:t>
      </w:r>
      <w:r w:rsidRPr="005D37EB">
        <w:rPr>
          <w:rFonts w:eastAsia="Aptos"/>
          <w:kern w:val="2"/>
          <w14:ligatures w14:val="standardContextual"/>
        </w:rPr>
        <w:t xml:space="preserve"> underlines that if in employment the earnings and income of </w:t>
      </w:r>
      <w:r w:rsidRPr="005D37EB" w:rsidR="001900FA">
        <w:rPr>
          <w:rFonts w:eastAsia="Aptos"/>
          <w:kern w:val="2"/>
          <w14:ligatures w14:val="standardContextual"/>
        </w:rPr>
        <w:t xml:space="preserve">women and men </w:t>
      </w:r>
      <w:r w:rsidRPr="005D37EB">
        <w:rPr>
          <w:rFonts w:eastAsia="Aptos"/>
          <w:kern w:val="2"/>
          <w14:ligatures w14:val="standardContextual"/>
        </w:rPr>
        <w:t>in their 20s and early 30s stagnates or falls compared to previous generation</w:t>
      </w:r>
      <w:r w:rsidRPr="005D37EB" w:rsidR="00267225">
        <w:rPr>
          <w:rFonts w:eastAsia="Aptos"/>
          <w:kern w:val="2"/>
          <w14:ligatures w14:val="standardContextual"/>
        </w:rPr>
        <w:t>s</w:t>
      </w:r>
      <w:r w:rsidRPr="005D37EB">
        <w:rPr>
          <w:rFonts w:eastAsia="Aptos"/>
          <w:kern w:val="2"/>
          <w14:ligatures w14:val="standardContextual"/>
        </w:rPr>
        <w:t>, they will have less resources for establishing a family, thus, in line with the CoR opinion on Youth Guarantee</w:t>
      </w:r>
      <w:r w:rsidRPr="003B54C5">
        <w:rPr>
          <w:rFonts w:eastAsia="Aptos"/>
          <w:kern w:val="2"/>
          <w:sz w:val="24"/>
          <w:szCs w:val="24"/>
          <w:vertAlign w:val="superscript"/>
          <w14:ligatures w14:val="standardContextual"/>
        </w:rPr>
        <w:footnoteReference w:id="9"/>
      </w:r>
      <w:r w:rsidRPr="003B54C5">
        <w:rPr>
          <w:rFonts w:eastAsia="Aptos"/>
          <w:kern w:val="2"/>
          <w:vertAlign w:val="superscript"/>
          <w14:ligatures w14:val="standardContextual"/>
        </w:rPr>
        <w:t xml:space="preserve"> </w:t>
      </w:r>
      <w:r w:rsidRPr="00B8130A">
        <w:rPr>
          <w:rFonts w:eastAsia="Aptos"/>
          <w:kern w:val="2"/>
          <w14:ligatures w14:val="standardContextual"/>
        </w:rPr>
        <w:t>special focus should be placed on support</w:t>
      </w:r>
      <w:r w:rsidRPr="005D37EB" w:rsidR="00267225">
        <w:rPr>
          <w:rFonts w:eastAsia="Aptos"/>
          <w:kern w:val="2"/>
          <w14:ligatures w14:val="standardContextual"/>
        </w:rPr>
        <w:t>ing</w:t>
      </w:r>
      <w:r w:rsidRPr="005D37EB">
        <w:rPr>
          <w:rFonts w:eastAsia="Aptos"/>
          <w:kern w:val="2"/>
          <w14:ligatures w14:val="standardContextual"/>
        </w:rPr>
        <w:t xml:space="preserve"> young people</w:t>
      </w:r>
      <w:r w:rsidRPr="005D37EB" w:rsidR="00802E2E">
        <w:t xml:space="preserve"> </w:t>
      </w:r>
      <w:r w:rsidRPr="005D37EB" w:rsidR="00802E2E">
        <w:rPr>
          <w:rFonts w:eastAsia="Aptos"/>
          <w:kern w:val="2"/>
          <w14:ligatures w14:val="standardContextual"/>
        </w:rPr>
        <w:t xml:space="preserve">in the transition from school </w:t>
      </w:r>
      <w:r w:rsidRPr="005D37EB">
        <w:rPr>
          <w:rFonts w:eastAsia="Aptos"/>
          <w:kern w:val="2"/>
          <w14:ligatures w14:val="standardContextual"/>
        </w:rPr>
        <w:t>to</w:t>
      </w:r>
      <w:r w:rsidRPr="005D37EB" w:rsidR="00802E2E">
        <w:rPr>
          <w:rFonts w:eastAsia="Aptos"/>
          <w:kern w:val="2"/>
          <w14:ligatures w14:val="standardContextual"/>
        </w:rPr>
        <w:t xml:space="preserve"> work</w:t>
      </w:r>
      <w:r w:rsidRPr="005D37EB">
        <w:rPr>
          <w:rFonts w:eastAsia="Aptos"/>
          <w:kern w:val="2"/>
          <w14:ligatures w14:val="standardContextual"/>
        </w:rPr>
        <w:t xml:space="preserve"> provide women</w:t>
      </w:r>
      <w:r w:rsidRPr="005D37EB" w:rsidR="001900FA">
        <w:rPr>
          <w:rFonts w:eastAsia="Aptos"/>
          <w:kern w:val="2"/>
          <w14:ligatures w14:val="standardContextual"/>
        </w:rPr>
        <w:t xml:space="preserve"> and men</w:t>
      </w:r>
      <w:r w:rsidRPr="005D37EB">
        <w:rPr>
          <w:rFonts w:eastAsia="Aptos"/>
          <w:kern w:val="2"/>
          <w14:ligatures w14:val="standardContextual"/>
        </w:rPr>
        <w:t xml:space="preserve"> with early economic and vocational stability</w:t>
      </w:r>
      <w:r w:rsidRPr="005D37EB" w:rsidR="00802E2E">
        <w:rPr>
          <w:rFonts w:eastAsia="Aptos"/>
          <w:kern w:val="2"/>
          <w14:ligatures w14:val="standardContextual"/>
        </w:rPr>
        <w:t>, since success in this is an important precondition for professional and social integration</w:t>
      </w:r>
      <w:r w:rsidRPr="005D37EB" w:rsidR="000C64B9">
        <w:rPr>
          <w:rFonts w:eastAsia="Aptos"/>
          <w:kern w:val="2"/>
          <w14:ligatures w14:val="standardContextual"/>
        </w:rPr>
        <w:t>,</w:t>
      </w:r>
      <w:r w:rsidRPr="005D37EB">
        <w:rPr>
          <w:rFonts w:eastAsia="Aptos"/>
          <w:kern w:val="2"/>
          <w14:ligatures w14:val="standardContextual"/>
        </w:rPr>
        <w:t xml:space="preserve"> which is crucial to</w:t>
      </w:r>
      <w:r w:rsidRPr="005D37EB" w:rsidR="001900FA">
        <w:rPr>
          <w:rFonts w:eastAsia="Aptos"/>
          <w:kern w:val="2"/>
          <w14:ligatures w14:val="standardContextual"/>
        </w:rPr>
        <w:t xml:space="preserve"> have the opportunity and</w:t>
      </w:r>
      <w:r w:rsidRPr="005D37EB">
        <w:rPr>
          <w:rFonts w:eastAsia="Aptos"/>
          <w:kern w:val="2"/>
          <w14:ligatures w14:val="standardContextual"/>
        </w:rPr>
        <w:t xml:space="preserve"> be able to afford </w:t>
      </w:r>
      <w:r w:rsidRPr="005D37EB" w:rsidR="00267225">
        <w:rPr>
          <w:rFonts w:eastAsia="Aptos"/>
          <w:kern w:val="2"/>
          <w14:ligatures w14:val="standardContextual"/>
        </w:rPr>
        <w:t xml:space="preserve">to have </w:t>
      </w:r>
      <w:r w:rsidRPr="005D37EB">
        <w:rPr>
          <w:rFonts w:eastAsia="Aptos"/>
          <w:kern w:val="2"/>
          <w14:ligatures w14:val="standardContextual"/>
        </w:rPr>
        <w:t>children;</w:t>
      </w:r>
    </w:p>
    <w:p w:rsidRPr="005D37EB" w:rsidR="00D43348" w:rsidP="000D1382" w:rsidRDefault="00D43348" w14:paraId="317AB4AA" w14:textId="77777777">
      <w:pPr>
        <w:spacing w:line="281" w:lineRule="auto"/>
        <w:rPr>
          <w:rFonts w:eastAsia="Aptos"/>
        </w:rPr>
      </w:pPr>
    </w:p>
    <w:p w:rsidRPr="005D37EB" w:rsidR="00D43348" w:rsidP="000D1382" w:rsidRDefault="00D43348" w14:paraId="4B719FC5" w14:textId="3F39B094">
      <w:pPr>
        <w:pStyle w:val="Heading1"/>
        <w:spacing w:line="281" w:lineRule="auto"/>
        <w:rPr>
          <w:rFonts w:eastAsia="Aptos"/>
          <w:kern w:val="2"/>
          <w14:ligatures w14:val="standardContextual"/>
        </w:rPr>
      </w:pPr>
      <w:r w:rsidRPr="005D37EB">
        <w:rPr>
          <w:rFonts w:eastAsia="Aptos"/>
          <w:kern w:val="2"/>
          <w14:ligatures w14:val="standardContextual"/>
        </w:rPr>
        <w:t xml:space="preserve">stresses that </w:t>
      </w:r>
      <w:r w:rsidRPr="005D37EB" w:rsidR="0057670A">
        <w:rPr>
          <w:rFonts w:eastAsia="Aptos"/>
          <w:kern w:val="2"/>
          <w14:ligatures w14:val="standardContextual"/>
        </w:rPr>
        <w:t xml:space="preserve">the </w:t>
      </w:r>
      <w:r w:rsidRPr="005D37EB" w:rsidR="00896909">
        <w:rPr>
          <w:rFonts w:eastAsia="Aptos"/>
          <w:kern w:val="2"/>
          <w14:ligatures w14:val="standardContextual"/>
        </w:rPr>
        <w:t xml:space="preserve">United Nations Population Division forecasts that the population of Europe is expected to decline from 2030 onwards. In this context, underlines that with a </w:t>
      </w:r>
      <w:r w:rsidRPr="005D37EB">
        <w:rPr>
          <w:rFonts w:eastAsia="Aptos"/>
          <w:kern w:val="2"/>
          <w14:ligatures w14:val="standardContextual"/>
        </w:rPr>
        <w:t>declining</w:t>
      </w:r>
      <w:r w:rsidRPr="005D37EB" w:rsidR="00896909">
        <w:rPr>
          <w:rFonts w:eastAsia="Aptos"/>
          <w:kern w:val="2"/>
          <w14:ligatures w14:val="standardContextual"/>
        </w:rPr>
        <w:t xml:space="preserve"> and aging</w:t>
      </w:r>
      <w:r w:rsidRPr="005D37EB">
        <w:rPr>
          <w:rFonts w:eastAsia="Aptos"/>
          <w:kern w:val="2"/>
          <w14:ligatures w14:val="standardContextual"/>
        </w:rPr>
        <w:t xml:space="preserve"> population </w:t>
      </w:r>
      <w:r w:rsidRPr="005D37EB" w:rsidR="00896909">
        <w:rPr>
          <w:rFonts w:eastAsia="Aptos"/>
          <w:kern w:val="2"/>
          <w14:ligatures w14:val="standardContextual"/>
        </w:rPr>
        <w:t xml:space="preserve">it will become an increasing challenge to sustain economic growth in Europe; notes that </w:t>
      </w:r>
      <w:r w:rsidRPr="005D37EB">
        <w:rPr>
          <w:rFonts w:eastAsia="Aptos"/>
          <w:kern w:val="2"/>
          <w14:ligatures w14:val="standardContextual"/>
        </w:rPr>
        <w:t xml:space="preserve">considering </w:t>
      </w:r>
      <w:r w:rsidRPr="005D37EB" w:rsidR="00267225">
        <w:rPr>
          <w:rFonts w:eastAsia="Aptos"/>
          <w:kern w:val="2"/>
          <w14:ligatures w14:val="standardContextual"/>
        </w:rPr>
        <w:t>an</w:t>
      </w:r>
      <w:r w:rsidRPr="005D37EB">
        <w:rPr>
          <w:rFonts w:eastAsia="Aptos"/>
          <w:kern w:val="2"/>
          <w14:ligatures w14:val="standardContextual"/>
        </w:rPr>
        <w:t xml:space="preserve"> old-age dependency ratio that increases from 33% to 60% by 2100, increasing women</w:t>
      </w:r>
      <w:r w:rsidRPr="005D37EB" w:rsidR="006B2199">
        <w:rPr>
          <w:rFonts w:eastAsia="Aptos"/>
          <w:kern w:val="2"/>
          <w14:ligatures w14:val="standardContextual"/>
        </w:rPr>
        <w:t>’</w:t>
      </w:r>
      <w:r w:rsidRPr="005D37EB">
        <w:rPr>
          <w:rFonts w:eastAsia="Aptos"/>
          <w:kern w:val="2"/>
          <w14:ligatures w14:val="standardContextual"/>
        </w:rPr>
        <w:t>s labour participation could</w:t>
      </w:r>
      <w:r w:rsidRPr="005D37EB" w:rsidR="00F42582">
        <w:rPr>
          <w:rFonts w:eastAsia="Aptos"/>
          <w:kern w:val="2"/>
          <w14:ligatures w14:val="standardContextual"/>
        </w:rPr>
        <w:t xml:space="preserve"> help achieve the EU’s employment rate target for 2030 and</w:t>
      </w:r>
      <w:r w:rsidRPr="005D37EB">
        <w:rPr>
          <w:rFonts w:eastAsia="Aptos"/>
          <w:kern w:val="2"/>
          <w14:ligatures w14:val="standardContextual"/>
        </w:rPr>
        <w:t xml:space="preserve"> be one of the most effective remedies to the negative consequences of ageing</w:t>
      </w:r>
      <w:r w:rsidRPr="003B54C5">
        <w:rPr>
          <w:rFonts w:eastAsia="Aptos"/>
          <w:kern w:val="2"/>
          <w:sz w:val="24"/>
          <w:szCs w:val="24"/>
          <w:vertAlign w:val="superscript"/>
          <w14:ligatures w14:val="standardContextual"/>
        </w:rPr>
        <w:footnoteReference w:id="10"/>
      </w:r>
      <w:r w:rsidRPr="005D37EB" w:rsidR="00F42582">
        <w:rPr>
          <w:rFonts w:eastAsia="Aptos"/>
          <w:kern w:val="2"/>
          <w14:ligatures w14:val="standardContextual"/>
        </w:rPr>
        <w:t xml:space="preserve">, alongside legal migration and the effective integration of third country nationals to alleviate labour market pressures. </w:t>
      </w:r>
      <w:r w:rsidRPr="005D37EB" w:rsidR="00896909">
        <w:rPr>
          <w:rFonts w:eastAsia="Aptos"/>
          <w:kern w:val="2"/>
          <w14:ligatures w14:val="standardContextual"/>
        </w:rPr>
        <w:t xml:space="preserve">Notes that increasing women’s participation in the labour market requires a range of measures, such as </w:t>
      </w:r>
      <w:r w:rsidRPr="005D37EB" w:rsidR="00F42582">
        <w:rPr>
          <w:rFonts w:eastAsia="Aptos"/>
          <w:kern w:val="2"/>
          <w14:ligatures w14:val="standardContextual"/>
        </w:rPr>
        <w:t xml:space="preserve">addressing the gender pay gap, </w:t>
      </w:r>
      <w:r w:rsidRPr="005D37EB" w:rsidR="00896909">
        <w:rPr>
          <w:rFonts w:eastAsia="Aptos"/>
          <w:kern w:val="2"/>
          <w14:ligatures w14:val="standardContextual"/>
        </w:rPr>
        <w:t>accessible and affordable childcare and care for the elderly and a balanced distribution of unpaid domestic and care work</w:t>
      </w:r>
      <w:r w:rsidRPr="005D37EB" w:rsidR="00F42582">
        <w:rPr>
          <w:rFonts w:eastAsia="Aptos"/>
          <w:kern w:val="2"/>
          <w14:ligatures w14:val="standardContextual"/>
        </w:rPr>
        <w:t>. Urges targeted use of EU resources to support regions with high youth unemployment</w:t>
      </w:r>
      <w:r w:rsidRPr="005D37EB">
        <w:rPr>
          <w:rFonts w:eastAsia="Aptos"/>
          <w:kern w:val="2"/>
          <w14:ligatures w14:val="standardContextual"/>
        </w:rPr>
        <w:t>;</w:t>
      </w:r>
    </w:p>
    <w:p w:rsidRPr="005D37EB" w:rsidR="00481445" w:rsidP="000D1382" w:rsidRDefault="00481445" w14:paraId="295982E1" w14:textId="69FEC3B5">
      <w:pPr>
        <w:spacing w:line="281" w:lineRule="auto"/>
        <w:rPr>
          <w:rFonts w:eastAsia="Aptos"/>
        </w:rPr>
      </w:pPr>
    </w:p>
    <w:p w:rsidRPr="005D37EB" w:rsidR="00481445" w:rsidP="000D1382" w:rsidRDefault="00481445" w14:paraId="6DA6EC04" w14:textId="326286AB">
      <w:pPr>
        <w:pStyle w:val="Heading1"/>
        <w:spacing w:line="281" w:lineRule="auto"/>
        <w:rPr>
          <w:rFonts w:eastAsia="Aptos"/>
          <w:kern w:val="2"/>
          <w14:ligatures w14:val="standardContextual"/>
        </w:rPr>
      </w:pPr>
      <w:r w:rsidRPr="005D37EB">
        <w:rPr>
          <w:rFonts w:eastAsia="Aptos"/>
          <w:kern w:val="2"/>
          <w14:ligatures w14:val="standardContextual"/>
        </w:rPr>
        <w:t>stresses that all the measures and policies recommended in this opinion must fully uphold women’s freedom to choose as regards their own bodies</w:t>
      </w:r>
      <w:r w:rsidRPr="005D37EB" w:rsidR="003644DF">
        <w:rPr>
          <w:rFonts w:eastAsia="Aptos"/>
          <w:kern w:val="2"/>
          <w14:ligatures w14:val="standardContextual"/>
        </w:rPr>
        <w:t>,</w:t>
      </w:r>
      <w:r w:rsidRPr="005D37EB" w:rsidR="003644DF">
        <w:t xml:space="preserve"> </w:t>
      </w:r>
      <w:r w:rsidRPr="005D37EB" w:rsidR="003644DF">
        <w:rPr>
          <w:rFonts w:eastAsia="Aptos"/>
          <w:kern w:val="2"/>
          <w14:ligatures w14:val="standardContextual"/>
        </w:rPr>
        <w:t>irrespective of their social, economic or family situations</w:t>
      </w:r>
      <w:r w:rsidRPr="005D37EB">
        <w:rPr>
          <w:rFonts w:eastAsia="Aptos"/>
          <w:kern w:val="2"/>
          <w14:ligatures w14:val="standardContextual"/>
        </w:rPr>
        <w:t xml:space="preserve">. Demographic policies must never limit women’s rights or undermine their physical autonomy, </w:t>
      </w:r>
      <w:r w:rsidRPr="005D37EB" w:rsidR="003644DF">
        <w:rPr>
          <w:rFonts w:eastAsia="Aptos"/>
          <w:kern w:val="2"/>
          <w14:ligatures w14:val="standardContextual"/>
        </w:rPr>
        <w:t>and mental health, and they must safeguard women’s reproductive rights comprehensively, also ensuring universal access to safe healthcare services and respectful treatment</w:t>
      </w:r>
      <w:r w:rsidRPr="005D37EB">
        <w:rPr>
          <w:rFonts w:eastAsia="Aptos"/>
          <w:kern w:val="2"/>
          <w14:ligatures w14:val="standardContextual"/>
        </w:rPr>
        <w:t>;</w:t>
      </w:r>
    </w:p>
    <w:p w:rsidRPr="005D37EB" w:rsidR="007D50D0" w:rsidP="000D1382" w:rsidRDefault="007D50D0" w14:paraId="0A92C360" w14:textId="1C7F9F39">
      <w:pPr>
        <w:pStyle w:val="Heading1"/>
        <w:numPr>
          <w:ilvl w:val="0"/>
          <w:numId w:val="0"/>
        </w:numPr>
        <w:spacing w:line="281" w:lineRule="auto"/>
      </w:pPr>
    </w:p>
    <w:p w:rsidRPr="005D37EB" w:rsidR="00D43348" w:rsidP="000D1382" w:rsidRDefault="00D43348" w14:paraId="670C2213" w14:textId="02F1C3C8">
      <w:pPr>
        <w:keepNext/>
        <w:spacing w:line="281" w:lineRule="auto"/>
        <w:rPr>
          <w:i/>
          <w:iCs/>
        </w:rPr>
      </w:pPr>
      <w:r w:rsidRPr="005D37EB">
        <w:rPr>
          <w:rFonts w:eastAsia="Calibri"/>
          <w:i/>
          <w:iCs/>
          <w:kern w:val="2"/>
          <w14:ligatures w14:val="standardContextual"/>
        </w:rPr>
        <w:t>The need for coherent policy response at all levels of governance</w:t>
      </w:r>
    </w:p>
    <w:p w:rsidRPr="005D37EB" w:rsidR="00D43348" w:rsidP="000D1382" w:rsidRDefault="00D43348" w14:paraId="2A446266" w14:textId="77777777">
      <w:pPr>
        <w:keepNext/>
        <w:spacing w:line="281" w:lineRule="auto"/>
      </w:pPr>
    </w:p>
    <w:p w:rsidRPr="005D37EB" w:rsidR="00D43348" w:rsidP="000D1382" w:rsidRDefault="00D43348" w14:paraId="266A42A7" w14:textId="706E67F2">
      <w:pPr>
        <w:pStyle w:val="Heading1"/>
        <w:spacing w:line="281" w:lineRule="auto"/>
        <w:rPr>
          <w:rFonts w:eastAsia="Aptos"/>
          <w:kern w:val="2"/>
          <w14:ligatures w14:val="standardContextual"/>
        </w:rPr>
      </w:pPr>
      <w:r w:rsidRPr="005D37EB">
        <w:rPr>
          <w:rFonts w:eastAsia="Aptos"/>
          <w:kern w:val="2"/>
          <w14:ligatures w14:val="standardContextual"/>
        </w:rPr>
        <w:t xml:space="preserve">notes that European regions respond to demographic challenges by </w:t>
      </w:r>
      <w:r w:rsidRPr="005D37EB" w:rsidR="003644DF">
        <w:rPr>
          <w:rFonts w:eastAsia="Aptos"/>
          <w:kern w:val="2"/>
          <w14:ligatures w14:val="standardContextual"/>
        </w:rPr>
        <w:t>numerous family-friendly</w:t>
      </w:r>
      <w:r w:rsidR="003B54C5">
        <w:rPr>
          <w:rFonts w:eastAsia="Aptos"/>
          <w:kern w:val="2"/>
          <w14:ligatures w14:val="standardContextual"/>
        </w:rPr>
        <w:t xml:space="preserve"> </w:t>
      </w:r>
      <w:r w:rsidRPr="003B54C5">
        <w:rPr>
          <w:rFonts w:eastAsia="Aptos"/>
          <w:kern w:val="2"/>
          <w14:ligatures w14:val="standardContextual"/>
        </w:rPr>
        <w:t>measures to</w:t>
      </w:r>
      <w:r w:rsidRPr="00B8130A" w:rsidR="00481445">
        <w:rPr>
          <w:rFonts w:eastAsia="Aptos"/>
          <w:kern w:val="2"/>
          <w14:ligatures w14:val="standardContextual"/>
        </w:rPr>
        <w:t xml:space="preserve"> foster growth</w:t>
      </w:r>
      <w:r w:rsidRPr="00B8130A">
        <w:rPr>
          <w:rFonts w:eastAsia="Aptos"/>
          <w:kern w:val="2"/>
          <w14:ligatures w14:val="standardContextual"/>
        </w:rPr>
        <w:t xml:space="preserve"> and </w:t>
      </w:r>
      <w:r w:rsidRPr="005D37EB" w:rsidR="00481445">
        <w:rPr>
          <w:rFonts w:eastAsia="Aptos"/>
          <w:kern w:val="2"/>
          <w14:ligatures w14:val="standardContextual"/>
        </w:rPr>
        <w:t>job creation</w:t>
      </w:r>
      <w:r w:rsidRPr="005D37EB">
        <w:rPr>
          <w:rFonts w:eastAsia="Aptos"/>
          <w:kern w:val="2"/>
          <w14:ligatures w14:val="standardContextual"/>
        </w:rPr>
        <w:t xml:space="preserve">, policies to support families </w:t>
      </w:r>
      <w:r w:rsidRPr="005D37EB" w:rsidR="00481445">
        <w:rPr>
          <w:rFonts w:eastAsia="Aptos"/>
          <w:kern w:val="2"/>
          <w14:ligatures w14:val="standardContextual"/>
        </w:rPr>
        <w:t>in all their diversity</w:t>
      </w:r>
      <w:r w:rsidRPr="005D37EB" w:rsidR="003644DF">
        <w:rPr>
          <w:rFonts w:eastAsia="Aptos"/>
          <w:kern w:val="2"/>
          <w14:ligatures w14:val="standardContextual"/>
        </w:rPr>
        <w:t>, including single-parents raising children,</w:t>
      </w:r>
      <w:r w:rsidRPr="005D37EB" w:rsidR="00481445">
        <w:rPr>
          <w:rFonts w:eastAsia="Aptos"/>
          <w:kern w:val="2"/>
          <w14:ligatures w14:val="standardContextual"/>
        </w:rPr>
        <w:t xml:space="preserve"> </w:t>
      </w:r>
      <w:r w:rsidRPr="005D37EB">
        <w:rPr>
          <w:rFonts w:eastAsia="Aptos"/>
          <w:kern w:val="2"/>
          <w14:ligatures w14:val="standardContextual"/>
        </w:rPr>
        <w:t>as well as measures to balance work and family life, through policies aimed at maintaining educational establishments in the regions</w:t>
      </w:r>
      <w:r w:rsidRPr="005D37EB" w:rsidR="003644DF">
        <w:rPr>
          <w:rFonts w:eastAsia="Aptos"/>
          <w:kern w:val="2"/>
          <w14:ligatures w14:val="standardContextual"/>
        </w:rPr>
        <w:t>, especially in rural areas</w:t>
      </w:r>
      <w:r w:rsidRPr="005D37EB">
        <w:rPr>
          <w:rFonts w:eastAsia="Aptos"/>
          <w:kern w:val="2"/>
          <w14:ligatures w14:val="standardContextual"/>
        </w:rPr>
        <w:t xml:space="preserve">, and aimed at launching initiatives for the </w:t>
      </w:r>
      <w:r w:rsidRPr="005D37EB" w:rsidR="003644DF">
        <w:rPr>
          <w:rFonts w:eastAsia="Aptos"/>
          <w:kern w:val="2"/>
          <w14:ligatures w14:val="standardContextual"/>
        </w:rPr>
        <w:t>return and retention</w:t>
      </w:r>
      <w:r w:rsidRPr="005D37EB">
        <w:rPr>
          <w:rFonts w:eastAsia="Aptos"/>
          <w:kern w:val="2"/>
          <w14:ligatures w14:val="standardContextual"/>
        </w:rPr>
        <w:t xml:space="preserve"> of talent, and through policies that ensure equal opportunities for women and men</w:t>
      </w:r>
      <w:r w:rsidRPr="005D37EB" w:rsidR="003644DF">
        <w:rPr>
          <w:rFonts w:eastAsia="Aptos"/>
          <w:kern w:val="2"/>
          <w14:ligatures w14:val="standardContextual"/>
        </w:rPr>
        <w:t>. Encourages the use of EU funds to enhance local capacities to address demographic shifts effectively</w:t>
      </w:r>
      <w:r w:rsidRPr="005D37EB">
        <w:rPr>
          <w:rFonts w:eastAsia="Aptos"/>
          <w:kern w:val="2"/>
          <w14:ligatures w14:val="standardContextual"/>
        </w:rPr>
        <w:t>;</w:t>
      </w:r>
    </w:p>
    <w:p w:rsidRPr="005D37EB" w:rsidR="00D43348" w:rsidP="000D1382" w:rsidRDefault="00D43348" w14:paraId="558BC96C" w14:textId="77777777">
      <w:pPr>
        <w:spacing w:line="281" w:lineRule="auto"/>
        <w:rPr>
          <w:rFonts w:eastAsia="Aptos"/>
        </w:rPr>
      </w:pPr>
    </w:p>
    <w:p w:rsidRPr="005D37EB" w:rsidR="00D43348" w:rsidP="000D1382" w:rsidRDefault="00D43348" w14:paraId="6EBB1C62" w14:textId="6E7DFB92">
      <w:pPr>
        <w:pStyle w:val="Heading1"/>
        <w:spacing w:line="281" w:lineRule="auto"/>
        <w:rPr>
          <w:rFonts w:eastAsia="Aptos"/>
          <w:kern w:val="2"/>
          <w14:ligatures w14:val="standardContextual"/>
        </w:rPr>
      </w:pPr>
      <w:r w:rsidRPr="005D37EB">
        <w:rPr>
          <w:rFonts w:eastAsia="Aptos"/>
          <w:kern w:val="2"/>
          <w14:ligatures w14:val="standardContextual"/>
        </w:rPr>
        <w:t>encourages European regions to continue to address</w:t>
      </w:r>
      <w:r w:rsidRPr="005D37EB" w:rsidR="003644DF">
        <w:rPr>
          <w:rFonts w:eastAsia="Aptos"/>
          <w:kern w:val="2"/>
          <w14:ligatures w14:val="standardContextual"/>
        </w:rPr>
        <w:t xml:space="preserve"> and to adapt to</w:t>
      </w:r>
      <w:r w:rsidRPr="005D37EB">
        <w:rPr>
          <w:rFonts w:eastAsia="Aptos"/>
          <w:kern w:val="2"/>
          <w14:ligatures w14:val="standardContextual"/>
        </w:rPr>
        <w:t xml:space="preserve"> these</w:t>
      </w:r>
      <w:r w:rsidRPr="005D37EB" w:rsidR="003644DF">
        <w:rPr>
          <w:rFonts w:eastAsia="Aptos"/>
          <w:kern w:val="2"/>
          <w14:ligatures w14:val="standardContextual"/>
        </w:rPr>
        <w:t xml:space="preserve"> challenges</w:t>
      </w:r>
      <w:r w:rsidRPr="005D37EB">
        <w:rPr>
          <w:rFonts w:eastAsia="Aptos"/>
          <w:kern w:val="2"/>
          <w14:ligatures w14:val="standardContextual"/>
        </w:rPr>
        <w:t xml:space="preserve">, and to seize the opportunities associated with demographic change, such as those related to the </w:t>
      </w:r>
      <w:r w:rsidRPr="005D37EB" w:rsidR="006B2199">
        <w:rPr>
          <w:rFonts w:eastAsia="Aptos"/>
          <w:kern w:val="2"/>
          <w14:ligatures w14:val="standardContextual"/>
        </w:rPr>
        <w:t>‘</w:t>
      </w:r>
      <w:r w:rsidRPr="005D37EB">
        <w:rPr>
          <w:rFonts w:eastAsia="Aptos"/>
          <w:kern w:val="2"/>
          <w14:ligatures w14:val="standardContextual"/>
        </w:rPr>
        <w:t>silver economy</w:t>
      </w:r>
      <w:r w:rsidRPr="005D37EB" w:rsidR="006B2199">
        <w:rPr>
          <w:rFonts w:eastAsia="Aptos"/>
          <w:kern w:val="2"/>
          <w14:ligatures w14:val="standardContextual"/>
        </w:rPr>
        <w:t>’</w:t>
      </w:r>
      <w:r w:rsidRPr="005D37EB">
        <w:rPr>
          <w:rFonts w:eastAsia="Aptos"/>
          <w:kern w:val="2"/>
          <w14:ligatures w14:val="standardContextual"/>
        </w:rPr>
        <w:t>; and in line with its opinion on active and healthy ageing</w:t>
      </w:r>
      <w:r w:rsidRPr="003B54C5">
        <w:rPr>
          <w:rFonts w:eastAsia="Aptos"/>
          <w:kern w:val="2"/>
          <w:sz w:val="24"/>
          <w:szCs w:val="24"/>
          <w:vertAlign w:val="superscript"/>
          <w14:ligatures w14:val="standardContextual"/>
        </w:rPr>
        <w:footnoteReference w:id="11"/>
      </w:r>
      <w:r w:rsidRPr="003B54C5">
        <w:rPr>
          <w:rFonts w:eastAsia="Aptos"/>
          <w:kern w:val="2"/>
          <w:vertAlign w:val="superscript"/>
          <w14:ligatures w14:val="standardContextual"/>
        </w:rPr>
        <w:t xml:space="preserve"> </w:t>
      </w:r>
      <w:r w:rsidRPr="00B8130A">
        <w:rPr>
          <w:rFonts w:eastAsia="Aptos"/>
          <w:kern w:val="2"/>
          <w14:ligatures w14:val="standardContextual"/>
        </w:rPr>
        <w:t>it is convinced that ageing is a hidden opportunity, as increased longevity creates a market for new affordable products and services supporting active and healthy ageing;</w:t>
      </w:r>
    </w:p>
    <w:p w:rsidRPr="005D37EB" w:rsidR="00D43348" w:rsidP="000D1382" w:rsidRDefault="00D43348" w14:paraId="1B3CC7E0" w14:textId="77777777">
      <w:pPr>
        <w:spacing w:line="281" w:lineRule="auto"/>
        <w:rPr>
          <w:rFonts w:eastAsia="Aptos"/>
        </w:rPr>
      </w:pPr>
    </w:p>
    <w:p w:rsidRPr="005D37EB" w:rsidR="00D43348" w:rsidP="000D1382" w:rsidRDefault="00D43348" w14:paraId="05CCA1FD" w14:textId="31A3977B">
      <w:pPr>
        <w:pStyle w:val="Heading1"/>
        <w:spacing w:line="281" w:lineRule="auto"/>
        <w:rPr>
          <w:rFonts w:eastAsia="Aptos"/>
          <w:kern w:val="2"/>
          <w14:ligatures w14:val="standardContextual"/>
        </w:rPr>
      </w:pPr>
      <w:r w:rsidRPr="005D37EB">
        <w:rPr>
          <w:rFonts w:eastAsia="Aptos"/>
          <w:kern w:val="2"/>
          <w14:ligatures w14:val="standardContextual"/>
        </w:rPr>
        <w:t>recognises the importance of citizens</w:t>
      </w:r>
      <w:r w:rsidRPr="005D37EB" w:rsidR="006B2199">
        <w:rPr>
          <w:rFonts w:eastAsia="Aptos"/>
          <w:kern w:val="2"/>
          <w14:ligatures w14:val="standardContextual"/>
        </w:rPr>
        <w:t>’</w:t>
      </w:r>
      <w:r w:rsidRPr="005D37EB">
        <w:rPr>
          <w:rFonts w:eastAsia="Aptos"/>
          <w:kern w:val="2"/>
          <w14:ligatures w14:val="standardContextual"/>
        </w:rPr>
        <w:t xml:space="preserve"> participation and encourages leading local stakeholders to strengthen regional horizontal policies, thereby increasing awareness of demographic change within the local community to reinforce the acknowledgement of more citizen-centred measures; suggests to </w:t>
      </w:r>
      <w:r w:rsidRPr="005D37EB" w:rsidR="008A0938">
        <w:rPr>
          <w:rFonts w:eastAsia="Aptos"/>
          <w:kern w:val="2"/>
          <w14:ligatures w14:val="standardContextual"/>
        </w:rPr>
        <w:t>broadly</w:t>
      </w:r>
      <w:r w:rsidRPr="005D37EB">
        <w:rPr>
          <w:rFonts w:eastAsia="Aptos"/>
          <w:kern w:val="2"/>
          <w14:ligatures w14:val="standardContextual"/>
        </w:rPr>
        <w:t xml:space="preserve"> discuss the demographic challenges with European citizens;</w:t>
      </w:r>
    </w:p>
    <w:p w:rsidRPr="005D37EB" w:rsidR="00D43348" w:rsidP="000D1382" w:rsidRDefault="00D43348" w14:paraId="166F1093" w14:textId="77777777">
      <w:pPr>
        <w:spacing w:line="281" w:lineRule="auto"/>
        <w:rPr>
          <w:rFonts w:eastAsia="Aptos"/>
        </w:rPr>
      </w:pPr>
    </w:p>
    <w:p w:rsidRPr="005D37EB" w:rsidR="00D43348" w:rsidP="000D1382" w:rsidRDefault="00D43348" w14:paraId="3DDB8A94" w14:textId="5309327B">
      <w:pPr>
        <w:pStyle w:val="Heading1"/>
        <w:spacing w:line="281" w:lineRule="auto"/>
        <w:rPr>
          <w:rFonts w:eastAsia="Aptos"/>
          <w:kern w:val="2"/>
          <w14:ligatures w14:val="standardContextual"/>
        </w:rPr>
      </w:pPr>
      <w:r w:rsidRPr="005D37EB">
        <w:rPr>
          <w:rFonts w:eastAsia="Aptos"/>
          <w:kern w:val="2"/>
          <w14:ligatures w14:val="standardContextual"/>
        </w:rPr>
        <w:t>considers it timely to</w:t>
      </w:r>
      <w:r w:rsidRPr="005D37EB" w:rsidR="00F534B3">
        <w:t xml:space="preserve"> </w:t>
      </w:r>
      <w:r w:rsidRPr="005D37EB" w:rsidR="00F534B3">
        <w:rPr>
          <w:rFonts w:eastAsia="Aptos"/>
          <w:kern w:val="2"/>
          <w14:ligatures w14:val="standardContextual"/>
        </w:rPr>
        <w:t>mainstream demographic change as a transversal challenge into the work of all commissions</w:t>
      </w:r>
      <w:r w:rsidRPr="005D37EB" w:rsidR="00445FD5">
        <w:rPr>
          <w:rFonts w:eastAsia="Aptos"/>
          <w:kern w:val="2"/>
          <w14:ligatures w14:val="standardContextual"/>
        </w:rPr>
        <w:t>, and consider</w:t>
      </w:r>
      <w:r w:rsidRPr="005D37EB">
        <w:rPr>
          <w:rFonts w:eastAsia="Aptos"/>
          <w:kern w:val="2"/>
          <w14:ligatures w14:val="standardContextual"/>
        </w:rPr>
        <w:t xml:space="preserve"> the </w:t>
      </w:r>
      <w:r w:rsidRPr="005D37EB" w:rsidR="00445FD5">
        <w:rPr>
          <w:rFonts w:eastAsia="Aptos"/>
          <w:kern w:val="2"/>
          <w14:ligatures w14:val="standardContextual"/>
        </w:rPr>
        <w:t xml:space="preserve">possibility </w:t>
      </w:r>
      <w:r w:rsidRPr="005D37EB">
        <w:rPr>
          <w:rFonts w:eastAsia="Aptos"/>
          <w:kern w:val="2"/>
          <w14:ligatures w14:val="standardContextual"/>
        </w:rPr>
        <w:t>of</w:t>
      </w:r>
      <w:r w:rsidRPr="005D37EB" w:rsidR="00445FD5">
        <w:rPr>
          <w:rFonts w:eastAsia="Aptos"/>
          <w:kern w:val="2"/>
          <w14:ligatures w14:val="standardContextual"/>
        </w:rPr>
        <w:t xml:space="preserve"> establishing an interregional group closely cooperating with</w:t>
      </w:r>
      <w:r w:rsidRPr="005D37EB">
        <w:rPr>
          <w:rFonts w:eastAsia="Aptos"/>
          <w:kern w:val="2"/>
          <w14:ligatures w14:val="standardContextual"/>
        </w:rPr>
        <w:t xml:space="preserve"> the </w:t>
      </w:r>
      <w:r w:rsidRPr="005D37EB" w:rsidR="00D87144">
        <w:rPr>
          <w:rFonts w:eastAsia="Aptos"/>
          <w:kern w:val="2"/>
          <w14:ligatures w14:val="standardContextual"/>
        </w:rPr>
        <w:t>European Parliament</w:t>
      </w:r>
      <w:r w:rsidRPr="005D37EB" w:rsidR="00930599">
        <w:rPr>
          <w:rFonts w:eastAsia="Aptos"/>
          <w:kern w:val="2"/>
          <w14:ligatures w14:val="standardContextual"/>
        </w:rPr>
        <w:t>’</w:t>
      </w:r>
      <w:r w:rsidRPr="005D37EB" w:rsidR="00D87144">
        <w:rPr>
          <w:rFonts w:eastAsia="Aptos"/>
          <w:kern w:val="2"/>
          <w14:ligatures w14:val="standardContextual"/>
        </w:rPr>
        <w:t xml:space="preserve">s relevant intergroup, encouraging </w:t>
      </w:r>
      <w:r w:rsidRPr="005D37EB">
        <w:rPr>
          <w:rFonts w:eastAsia="Aptos"/>
          <w:kern w:val="2"/>
          <w14:ligatures w14:val="standardContextual"/>
        </w:rPr>
        <w:t xml:space="preserve">the exchange of best practices, and </w:t>
      </w:r>
      <w:r w:rsidRPr="005D37EB" w:rsidR="00D87144">
        <w:rPr>
          <w:rFonts w:eastAsia="Aptos"/>
          <w:kern w:val="2"/>
          <w14:ligatures w14:val="standardContextual"/>
        </w:rPr>
        <w:t xml:space="preserve">the development of </w:t>
      </w:r>
      <w:r w:rsidRPr="005D37EB">
        <w:rPr>
          <w:rFonts w:eastAsia="Aptos"/>
          <w:kern w:val="2"/>
          <w14:ligatures w14:val="standardContextual"/>
        </w:rPr>
        <w:t>coordinated strategies</w:t>
      </w:r>
      <w:r w:rsidRPr="005D37EB" w:rsidR="00F534B3">
        <w:t xml:space="preserve"> </w:t>
      </w:r>
      <w:r w:rsidRPr="005D37EB" w:rsidR="00D87144">
        <w:t>that take into account</w:t>
      </w:r>
      <w:r w:rsidRPr="005D37EB" w:rsidR="00F534B3">
        <w:rPr>
          <w:rFonts w:eastAsia="Aptos"/>
          <w:kern w:val="2"/>
          <w14:ligatures w14:val="standardContextual"/>
        </w:rPr>
        <w:t xml:space="preserve"> a </w:t>
      </w:r>
      <w:r w:rsidRPr="005D37EB" w:rsidR="00D87144">
        <w:rPr>
          <w:rFonts w:eastAsia="Aptos"/>
          <w:kern w:val="2"/>
          <w14:ligatures w14:val="standardContextual"/>
        </w:rPr>
        <w:t xml:space="preserve">broad spectrum of </w:t>
      </w:r>
      <w:r w:rsidRPr="005D37EB" w:rsidR="00F534B3">
        <w:rPr>
          <w:rFonts w:eastAsia="Aptos"/>
          <w:kern w:val="2"/>
          <w14:ligatures w14:val="standardContextual"/>
        </w:rPr>
        <w:t>EU policies</w:t>
      </w:r>
      <w:r w:rsidRPr="005D37EB" w:rsidR="00D87144">
        <w:rPr>
          <w:rFonts w:eastAsia="Aptos"/>
          <w:kern w:val="2"/>
          <w14:ligatures w14:val="standardContextual"/>
        </w:rPr>
        <w:t>, including gender equality</w:t>
      </w:r>
      <w:r w:rsidRPr="005D37EB">
        <w:rPr>
          <w:rFonts w:eastAsia="Aptos"/>
          <w:kern w:val="2"/>
          <w14:ligatures w14:val="standardContextual"/>
        </w:rPr>
        <w:t>;</w:t>
      </w:r>
    </w:p>
    <w:p w:rsidRPr="005D37EB" w:rsidR="00D43348" w:rsidP="000D1382" w:rsidRDefault="00D43348" w14:paraId="2A602BEE" w14:textId="77777777">
      <w:pPr>
        <w:spacing w:line="281" w:lineRule="auto"/>
        <w:rPr>
          <w:rFonts w:eastAsia="Aptos"/>
        </w:rPr>
      </w:pPr>
    </w:p>
    <w:p w:rsidRPr="005D37EB" w:rsidR="00D43348" w:rsidP="000D1382" w:rsidRDefault="00D43348" w14:paraId="46820CF9" w14:textId="60B96F94">
      <w:pPr>
        <w:pStyle w:val="Heading1"/>
        <w:spacing w:line="281" w:lineRule="auto"/>
        <w:rPr>
          <w:rFonts w:eastAsia="Aptos"/>
          <w:kern w:val="2"/>
          <w14:ligatures w14:val="standardContextual"/>
        </w:rPr>
      </w:pPr>
      <w:r w:rsidRPr="005D37EB">
        <w:rPr>
          <w:rFonts w:eastAsia="Aptos"/>
          <w:kern w:val="2"/>
          <w14:ligatures w14:val="standardContextual"/>
        </w:rPr>
        <w:t>in line with its recent opinion on brain drain</w:t>
      </w:r>
      <w:r w:rsidRPr="003B54C5">
        <w:rPr>
          <w:rFonts w:eastAsia="Aptos"/>
          <w:kern w:val="2"/>
          <w:sz w:val="24"/>
          <w:szCs w:val="24"/>
          <w:vertAlign w:val="superscript"/>
          <w14:ligatures w14:val="standardContextual"/>
        </w:rPr>
        <w:footnoteReference w:id="12"/>
      </w:r>
      <w:r w:rsidRPr="003B54C5">
        <w:rPr>
          <w:rFonts w:eastAsia="Aptos"/>
          <w:kern w:val="2"/>
          <w14:ligatures w14:val="standardContextual"/>
        </w:rPr>
        <w:t xml:space="preserve"> emphasises that the free movement of individuals and workers forms the basis of the internal market but draws attention to the recent report on the Internal Market</w:t>
      </w:r>
      <w:r w:rsidRPr="003B54C5">
        <w:rPr>
          <w:rFonts w:eastAsia="Aptos"/>
          <w:kern w:val="2"/>
          <w:sz w:val="24"/>
          <w:szCs w:val="24"/>
          <w:vertAlign w:val="superscript"/>
          <w14:ligatures w14:val="standardContextual"/>
        </w:rPr>
        <w:footnoteReference w:id="13"/>
      </w:r>
      <w:r w:rsidRPr="003B54C5">
        <w:rPr>
          <w:rFonts w:eastAsia="Aptos"/>
          <w:kern w:val="2"/>
          <w:vertAlign w:val="superscript"/>
          <w14:ligatures w14:val="standardContextual"/>
        </w:rPr>
        <w:t xml:space="preserve"> </w:t>
      </w:r>
      <w:r w:rsidRPr="00B8130A">
        <w:rPr>
          <w:rFonts w:eastAsia="Aptos"/>
          <w:kern w:val="2"/>
          <w14:ligatures w14:val="standardContextual"/>
        </w:rPr>
        <w:t>which signals a paradigm shift by acknowledging that intra-EU mobility is not an opportunity for everyone, as those living in less developed regions face significant real-life barriers to mobility such as age, lack of skills, intergenerational solidarity obligations, house ownership or emotional attachment, and more sho</w:t>
      </w:r>
      <w:r w:rsidRPr="005D37EB">
        <w:rPr>
          <w:rFonts w:eastAsia="Aptos"/>
          <w:kern w:val="2"/>
          <w14:ligatures w14:val="standardContextual"/>
        </w:rPr>
        <w:t xml:space="preserve">uld be done to support citizens in the scope of </w:t>
      </w:r>
      <w:r w:rsidRPr="005D37EB" w:rsidR="006B2199">
        <w:rPr>
          <w:rFonts w:eastAsia="Aptos"/>
          <w:kern w:val="2"/>
          <w14:ligatures w14:val="standardContextual"/>
        </w:rPr>
        <w:t>‘</w:t>
      </w:r>
      <w:r w:rsidRPr="005D37EB">
        <w:rPr>
          <w:rFonts w:eastAsia="Aptos"/>
          <w:kern w:val="2"/>
          <w14:ligatures w14:val="standardContextual"/>
        </w:rPr>
        <w:t>freedom to stay</w:t>
      </w:r>
      <w:r w:rsidRPr="005D37EB" w:rsidR="006B2199">
        <w:rPr>
          <w:rFonts w:eastAsia="Aptos"/>
          <w:kern w:val="2"/>
          <w14:ligatures w14:val="standardContextual"/>
        </w:rPr>
        <w:t>’</w:t>
      </w:r>
      <w:r w:rsidRPr="005D37EB">
        <w:rPr>
          <w:rFonts w:eastAsia="Aptos"/>
          <w:kern w:val="2"/>
          <w14:ligatures w14:val="standardContextual"/>
        </w:rPr>
        <w:t xml:space="preserve"> </w:t>
      </w:r>
      <w:r w:rsidRPr="005D37EB" w:rsidR="009F1BC9">
        <w:rPr>
          <w:rFonts w:eastAsia="Aptos"/>
          <w:kern w:val="2"/>
          <w14:ligatures w14:val="standardContextual"/>
        </w:rPr>
        <w:t xml:space="preserve">. All these should be accompanied with measures looking at the root causes of emigration of young </w:t>
      </w:r>
      <w:r w:rsidRPr="005D37EB">
        <w:rPr>
          <w:rFonts w:eastAsia="Aptos"/>
          <w:kern w:val="2"/>
          <w14:ligatures w14:val="standardContextual"/>
        </w:rPr>
        <w:t>and</w:t>
      </w:r>
      <w:r w:rsidRPr="005D37EB" w:rsidR="00D53697">
        <w:t xml:space="preserve"> </w:t>
      </w:r>
      <w:r w:rsidRPr="005D37EB" w:rsidR="00D53697">
        <w:rPr>
          <w:rFonts w:eastAsia="Aptos"/>
          <w:kern w:val="2"/>
          <w14:ligatures w14:val="standardContextual"/>
        </w:rPr>
        <w:t>qualified citizens in order</w:t>
      </w:r>
      <w:r w:rsidRPr="005D37EB">
        <w:rPr>
          <w:rFonts w:eastAsia="Aptos"/>
          <w:kern w:val="2"/>
          <w14:ligatures w14:val="standardContextual"/>
        </w:rPr>
        <w:t xml:space="preserve"> to </w:t>
      </w:r>
      <w:r w:rsidRPr="005D37EB" w:rsidR="00D53697">
        <w:rPr>
          <w:rFonts w:eastAsia="Aptos"/>
          <w:kern w:val="2"/>
          <w14:ligatures w14:val="standardContextual"/>
        </w:rPr>
        <w:t xml:space="preserve">reduce territorial disparities and boost </w:t>
      </w:r>
      <w:r w:rsidRPr="005D37EB">
        <w:rPr>
          <w:rFonts w:eastAsia="Aptos"/>
          <w:kern w:val="2"/>
          <w14:ligatures w14:val="standardContextual"/>
        </w:rPr>
        <w:t>the</w:t>
      </w:r>
      <w:r w:rsidRPr="005D37EB" w:rsidR="00D53697">
        <w:rPr>
          <w:rFonts w:eastAsia="Aptos"/>
          <w:kern w:val="2"/>
          <w14:ligatures w14:val="standardContextual"/>
        </w:rPr>
        <w:t xml:space="preserve"> attractiveness of</w:t>
      </w:r>
      <w:r w:rsidRPr="005D37EB">
        <w:rPr>
          <w:rFonts w:eastAsia="Aptos"/>
          <w:kern w:val="2"/>
          <w14:ligatures w14:val="standardContextual"/>
        </w:rPr>
        <w:t xml:space="preserve"> regions </w:t>
      </w:r>
      <w:r w:rsidRPr="005D37EB" w:rsidR="00D53697">
        <w:rPr>
          <w:rFonts w:eastAsia="Aptos"/>
          <w:kern w:val="2"/>
          <w14:ligatures w14:val="standardContextual"/>
        </w:rPr>
        <w:t>facing depopulation. Furthermore, it is important</w:t>
      </w:r>
      <w:r w:rsidRPr="005D37EB" w:rsidDel="00D53697" w:rsidR="00D53697">
        <w:rPr>
          <w:rFonts w:eastAsia="Aptos"/>
          <w:kern w:val="2"/>
          <w14:ligatures w14:val="standardContextual"/>
        </w:rPr>
        <w:t xml:space="preserve"> </w:t>
      </w:r>
      <w:r w:rsidRPr="005D37EB">
        <w:rPr>
          <w:rFonts w:eastAsia="Aptos"/>
          <w:kern w:val="2"/>
          <w14:ligatures w14:val="standardContextual"/>
        </w:rPr>
        <w:t xml:space="preserve"> to </w:t>
      </w:r>
      <w:r w:rsidRPr="005D37EB" w:rsidR="00D53697">
        <w:rPr>
          <w:rFonts w:eastAsia="Aptos"/>
          <w:kern w:val="2"/>
          <w14:ligatures w14:val="standardContextual"/>
        </w:rPr>
        <w:t xml:space="preserve">mention that, in addition to </w:t>
      </w:r>
      <w:r w:rsidRPr="005D37EB">
        <w:rPr>
          <w:rFonts w:eastAsia="Aptos"/>
          <w:kern w:val="2"/>
          <w14:ligatures w14:val="standardContextual"/>
        </w:rPr>
        <w:t xml:space="preserve">the </w:t>
      </w:r>
      <w:r w:rsidRPr="005D37EB" w:rsidR="00D53697">
        <w:rPr>
          <w:rFonts w:eastAsia="Aptos"/>
          <w:kern w:val="2"/>
          <w14:ligatures w14:val="standardContextual"/>
        </w:rPr>
        <w:t>barriers already listed, economic inequalities and lack of information on available opportunities are significant barriers for many citizens in less developed areas. A lack of financial resources may limit access to mobility, while insufficient dissemination of information, for example on training programmes, mobility support measures or job opportunities, deprives many citizens</w:t>
      </w:r>
      <w:r w:rsidRPr="005D37EB">
        <w:rPr>
          <w:rFonts w:eastAsia="Aptos"/>
          <w:kern w:val="2"/>
          <w14:ligatures w14:val="standardContextual"/>
        </w:rPr>
        <w:t xml:space="preserve"> of the </w:t>
      </w:r>
      <w:r w:rsidRPr="005D37EB" w:rsidR="00D53697">
        <w:rPr>
          <w:rFonts w:eastAsia="Aptos"/>
          <w:kern w:val="2"/>
          <w14:ligatures w14:val="standardContextual"/>
        </w:rPr>
        <w:t>possibility</w:t>
      </w:r>
      <w:r w:rsidRPr="005D37EB">
        <w:rPr>
          <w:rFonts w:eastAsia="Aptos"/>
          <w:kern w:val="2"/>
          <w14:ligatures w14:val="standardContextual"/>
        </w:rPr>
        <w:t xml:space="preserve"> to</w:t>
      </w:r>
      <w:r w:rsidRPr="005D37EB" w:rsidR="00D53697">
        <w:t xml:space="preserve"> </w:t>
      </w:r>
      <w:r w:rsidRPr="005D37EB" w:rsidR="00D53697">
        <w:rPr>
          <w:rFonts w:eastAsia="Aptos"/>
          <w:kern w:val="2"/>
          <w14:ligatures w14:val="standardContextual"/>
        </w:rPr>
        <w:t>seize these opportunities. These factors exacerbate</w:t>
      </w:r>
      <w:r w:rsidRPr="005D37EB">
        <w:rPr>
          <w:rFonts w:eastAsia="Aptos"/>
          <w:kern w:val="2"/>
          <w14:ligatures w14:val="standardContextual"/>
        </w:rPr>
        <w:t xml:space="preserve"> the </w:t>
      </w:r>
      <w:r w:rsidRPr="005D37EB" w:rsidR="00D53697">
        <w:rPr>
          <w:rFonts w:eastAsia="Aptos"/>
          <w:kern w:val="2"/>
          <w14:ligatures w14:val="standardContextual"/>
        </w:rPr>
        <w:t>gap between different areas and social groups within the EU</w:t>
      </w:r>
      <w:r w:rsidRPr="005D37EB">
        <w:rPr>
          <w:rFonts w:eastAsia="Aptos"/>
          <w:kern w:val="2"/>
          <w14:ligatures w14:val="standardContextual"/>
        </w:rPr>
        <w:t>;</w:t>
      </w:r>
    </w:p>
    <w:p w:rsidRPr="005D37EB" w:rsidR="00D43348" w:rsidP="000D1382" w:rsidRDefault="00D43348" w14:paraId="06387930" w14:textId="77777777">
      <w:pPr>
        <w:spacing w:line="281" w:lineRule="auto"/>
        <w:rPr>
          <w:rFonts w:eastAsia="Aptos"/>
        </w:rPr>
      </w:pPr>
    </w:p>
    <w:p w:rsidRPr="005D37EB" w:rsidR="00D43348" w:rsidP="000D1382" w:rsidRDefault="00D43348" w14:paraId="3F8DD9EA" w14:textId="53811D55">
      <w:pPr>
        <w:pStyle w:val="Heading1"/>
        <w:spacing w:line="281" w:lineRule="auto"/>
        <w:rPr>
          <w:rFonts w:eastAsia="Aptos"/>
          <w:kern w:val="2"/>
          <w14:ligatures w14:val="standardContextual"/>
        </w:rPr>
      </w:pPr>
      <w:r w:rsidRPr="005D37EB">
        <w:rPr>
          <w:rFonts w:eastAsia="Aptos"/>
          <w:kern w:val="2"/>
          <w14:ligatures w14:val="standardContextual"/>
        </w:rPr>
        <w:t>reaffirms its position stated in its 2016 and 2020 opinions on demographic change, emphasi</w:t>
      </w:r>
      <w:r w:rsidRPr="005D37EB" w:rsidR="006B2199">
        <w:rPr>
          <w:rFonts w:eastAsia="Aptos"/>
          <w:kern w:val="2"/>
          <w14:ligatures w14:val="standardContextual"/>
        </w:rPr>
        <w:t>s</w:t>
      </w:r>
      <w:r w:rsidRPr="005D37EB">
        <w:rPr>
          <w:rFonts w:eastAsia="Aptos"/>
          <w:kern w:val="2"/>
          <w14:ligatures w14:val="standardContextual"/>
        </w:rPr>
        <w:t xml:space="preserve">ing that </w:t>
      </w:r>
      <w:r w:rsidRPr="005D37EB" w:rsidR="001E4D59">
        <w:rPr>
          <w:rFonts w:eastAsia="Aptos"/>
          <w:kern w:val="2"/>
          <w14:ligatures w14:val="standardContextual"/>
        </w:rPr>
        <w:t>addressing</w:t>
      </w:r>
      <w:r w:rsidRPr="005D37EB">
        <w:rPr>
          <w:rFonts w:eastAsia="Aptos"/>
          <w:kern w:val="2"/>
          <w14:ligatures w14:val="standardContextual"/>
        </w:rPr>
        <w:t xml:space="preserve"> the fertility </w:t>
      </w:r>
      <w:r w:rsidRPr="005D37EB" w:rsidR="001E4D59">
        <w:rPr>
          <w:rFonts w:eastAsia="Aptos"/>
          <w:kern w:val="2"/>
          <w14:ligatures w14:val="standardContextual"/>
        </w:rPr>
        <w:t>levels</w:t>
      </w:r>
      <w:r w:rsidRPr="005D37EB">
        <w:rPr>
          <w:rFonts w:eastAsia="Aptos"/>
          <w:kern w:val="2"/>
          <w14:ligatures w14:val="standardContextual"/>
        </w:rPr>
        <w:t xml:space="preserve"> within Member States must remain a primary objective</w:t>
      </w:r>
      <w:r w:rsidRPr="005D37EB" w:rsidR="008D2889">
        <w:rPr>
          <w:rFonts w:eastAsia="Aptos"/>
          <w:kern w:val="2"/>
          <w14:ligatures w14:val="standardContextual"/>
        </w:rPr>
        <w:t>; recognises that demographic trends are complex issues intertwined with various policy areas and that therefore fertility rates do not change rapidly. Meanwhile,</w:t>
      </w:r>
      <w:r w:rsidRPr="005D37EB">
        <w:rPr>
          <w:rFonts w:eastAsia="Aptos"/>
          <w:kern w:val="2"/>
          <w14:ligatures w14:val="standardContextual"/>
        </w:rPr>
        <w:t xml:space="preserve"> and migration should be considered a secondary </w:t>
      </w:r>
      <w:r w:rsidRPr="005D37EB" w:rsidR="008D2889">
        <w:rPr>
          <w:rFonts w:eastAsia="Aptos"/>
          <w:kern w:val="2"/>
          <w14:ligatures w14:val="standardContextual"/>
        </w:rPr>
        <w:t xml:space="preserve">supportive </w:t>
      </w:r>
      <w:r w:rsidRPr="005D37EB">
        <w:rPr>
          <w:rFonts w:eastAsia="Aptos"/>
          <w:kern w:val="2"/>
          <w14:ligatures w14:val="standardContextual"/>
        </w:rPr>
        <w:t>tool used only thereafter</w:t>
      </w:r>
      <w:r w:rsidRPr="003B54C5">
        <w:rPr>
          <w:rFonts w:eastAsia="Aptos"/>
          <w:kern w:val="2"/>
          <w:sz w:val="24"/>
          <w:szCs w:val="24"/>
          <w:vertAlign w:val="superscript"/>
          <w14:ligatures w14:val="standardContextual"/>
        </w:rPr>
        <w:footnoteReference w:id="14"/>
      </w:r>
      <w:r w:rsidRPr="003B54C5" w:rsidR="009B1510">
        <w:rPr>
          <w:rFonts w:eastAsia="Aptos"/>
          <w:kern w:val="2"/>
          <w14:ligatures w14:val="standardContextual"/>
        </w:rPr>
        <w:t>;</w:t>
      </w:r>
      <w:r w:rsidRPr="00B8130A">
        <w:rPr>
          <w:rFonts w:eastAsia="Aptos"/>
          <w:kern w:val="2"/>
          <w14:ligatures w14:val="standardContextual"/>
        </w:rPr>
        <w:t xml:space="preserve"> </w:t>
      </w:r>
      <w:r w:rsidRPr="00B8130A" w:rsidR="00686F32">
        <w:rPr>
          <w:rFonts w:eastAsia="Aptos"/>
          <w:kern w:val="2"/>
          <w14:ligatures w14:val="standardContextual"/>
        </w:rPr>
        <w:t xml:space="preserve">underlines that the contribution made by migration is </w:t>
      </w:r>
      <w:r w:rsidRPr="005D37EB" w:rsidR="00686F32">
        <w:rPr>
          <w:rFonts w:eastAsia="Aptos"/>
          <w:kern w:val="2"/>
          <w14:ligatures w14:val="standardContextual"/>
        </w:rPr>
        <w:t>a short-term solution</w:t>
      </w:r>
      <w:r w:rsidRPr="005D37EB" w:rsidR="008D2889">
        <w:t xml:space="preserve"> </w:t>
      </w:r>
      <w:r w:rsidRPr="005D37EB" w:rsidR="008D2889">
        <w:rPr>
          <w:rFonts w:eastAsia="Aptos"/>
          <w:kern w:val="2"/>
          <w14:ligatures w14:val="standardContextual"/>
        </w:rPr>
        <w:t>not free from risks,</w:t>
      </w:r>
      <w:r w:rsidRPr="005D37EB" w:rsidR="00686F32">
        <w:rPr>
          <w:rFonts w:eastAsia="Aptos"/>
          <w:kern w:val="2"/>
          <w14:ligatures w14:val="standardContextual"/>
        </w:rPr>
        <w:t xml:space="preserve"> and important additional efforts across levels are needed to ensure that full integration into the labour markets and society is ensured; </w:t>
      </w:r>
      <w:r w:rsidRPr="005D37EB" w:rsidR="00A26667">
        <w:rPr>
          <w:rFonts w:eastAsia="Aptos"/>
          <w:kern w:val="2"/>
          <w14:ligatures w14:val="standardContextual"/>
        </w:rPr>
        <w:t xml:space="preserve">agrees </w:t>
      </w:r>
      <w:r w:rsidRPr="005D37EB">
        <w:rPr>
          <w:rFonts w:eastAsia="Aptos"/>
          <w:kern w:val="2"/>
          <w14:ligatures w14:val="standardContextual"/>
        </w:rPr>
        <w:t xml:space="preserve">that </w:t>
      </w:r>
      <w:r w:rsidRPr="005D37EB" w:rsidR="0057670A">
        <w:rPr>
          <w:rFonts w:eastAsia="Aptos"/>
          <w:i/>
          <w:iCs/>
          <w:kern w:val="2"/>
          <w14:ligatures w14:val="standardContextual"/>
        </w:rPr>
        <w:t>‘</w:t>
      </w:r>
      <w:r w:rsidRPr="005D37EB" w:rsidR="00A26667">
        <w:rPr>
          <w:rFonts w:eastAsia="Aptos"/>
          <w:i/>
          <w:iCs/>
          <w:kern w:val="2"/>
          <w14:ligatures w14:val="standardContextual"/>
        </w:rPr>
        <w:t>legal</w:t>
      </w:r>
      <w:r w:rsidRPr="005D37EB">
        <w:rPr>
          <w:rFonts w:eastAsia="Aptos"/>
          <w:i/>
          <w:iCs/>
          <w:kern w:val="2"/>
          <w14:ligatures w14:val="standardContextual"/>
        </w:rPr>
        <w:t xml:space="preserve"> migration</w:t>
      </w:r>
      <w:r w:rsidRPr="005D37EB" w:rsidR="00CD1D0A">
        <w:rPr>
          <w:rFonts w:eastAsia="Aptos"/>
          <w:i/>
          <w:iCs/>
          <w:kern w:val="2"/>
          <w14:ligatures w14:val="standardContextual"/>
        </w:rPr>
        <w:t xml:space="preserve"> </w:t>
      </w:r>
      <w:r w:rsidRPr="005D37EB">
        <w:rPr>
          <w:rFonts w:eastAsia="Aptos"/>
          <w:i/>
          <w:iCs/>
          <w:kern w:val="2"/>
          <w14:ligatures w14:val="standardContextual"/>
        </w:rPr>
        <w:t xml:space="preserve">and the </w:t>
      </w:r>
      <w:r w:rsidRPr="005D37EB" w:rsidR="00CD1D0A">
        <w:rPr>
          <w:rFonts w:eastAsia="Aptos"/>
          <w:i/>
          <w:iCs/>
          <w:kern w:val="2"/>
          <w14:ligatures w14:val="standardContextual"/>
        </w:rPr>
        <w:t xml:space="preserve">effective integration </w:t>
      </w:r>
      <w:r w:rsidRPr="005D37EB">
        <w:rPr>
          <w:rFonts w:eastAsia="Aptos"/>
          <w:i/>
          <w:iCs/>
          <w:kern w:val="2"/>
          <w14:ligatures w14:val="standardContextual"/>
        </w:rPr>
        <w:t xml:space="preserve">of </w:t>
      </w:r>
      <w:r w:rsidRPr="005D37EB" w:rsidR="00CD1D0A">
        <w:rPr>
          <w:rFonts w:eastAsia="Aptos"/>
          <w:i/>
          <w:iCs/>
          <w:kern w:val="2"/>
          <w14:ligatures w14:val="standardContextual"/>
        </w:rPr>
        <w:t xml:space="preserve">third country nationals legally residing </w:t>
      </w:r>
      <w:r w:rsidRPr="005D37EB">
        <w:rPr>
          <w:rFonts w:eastAsia="Aptos"/>
          <w:i/>
          <w:iCs/>
          <w:kern w:val="2"/>
          <w14:ligatures w14:val="standardContextual"/>
        </w:rPr>
        <w:t>in the</w:t>
      </w:r>
      <w:r w:rsidRPr="005D37EB" w:rsidR="00CD1D0A">
        <w:rPr>
          <w:rFonts w:eastAsia="Aptos"/>
          <w:i/>
          <w:iCs/>
          <w:kern w:val="2"/>
          <w14:ligatures w14:val="standardContextual"/>
        </w:rPr>
        <w:t xml:space="preserve"> EU can help alleviate labour market pressures</w:t>
      </w:r>
      <w:r w:rsidRPr="003B54C5" w:rsidR="00DD42BE">
        <w:rPr>
          <w:rFonts w:eastAsia="Aptos"/>
          <w:kern w:val="2"/>
          <w:sz w:val="24"/>
          <w:szCs w:val="24"/>
          <w:vertAlign w:val="superscript"/>
          <w14:ligatures w14:val="standardContextual"/>
        </w:rPr>
        <w:footnoteReference w:id="15"/>
      </w:r>
      <w:r w:rsidRPr="003B54C5" w:rsidR="0057670A">
        <w:rPr>
          <w:rFonts w:eastAsia="Aptos"/>
          <w:i/>
          <w:iCs/>
          <w:kern w:val="2"/>
          <w14:ligatures w14:val="standardContextual"/>
        </w:rPr>
        <w:t>’</w:t>
      </w:r>
      <w:r w:rsidRPr="00B8130A" w:rsidR="00686F32">
        <w:rPr>
          <w:rFonts w:eastAsia="Aptos"/>
          <w:i/>
          <w:iCs/>
          <w:kern w:val="2"/>
          <w14:ligatures w14:val="standardContextual"/>
        </w:rPr>
        <w:t>,</w:t>
      </w:r>
      <w:r w:rsidRPr="00B8130A">
        <w:rPr>
          <w:rFonts w:eastAsia="Aptos"/>
          <w:kern w:val="2"/>
          <w14:ligatures w14:val="standardContextual"/>
        </w:rPr>
        <w:t xml:space="preserve"> </w:t>
      </w:r>
      <w:r w:rsidRPr="005D37EB" w:rsidR="00DD42BE">
        <w:rPr>
          <w:rFonts w:eastAsia="Aptos"/>
          <w:kern w:val="2"/>
          <w14:ligatures w14:val="standardContextual"/>
        </w:rPr>
        <w:t>while insisting on</w:t>
      </w:r>
      <w:r w:rsidRPr="005D37EB">
        <w:rPr>
          <w:rFonts w:eastAsia="Aptos"/>
          <w:kern w:val="2"/>
          <w14:ligatures w14:val="standardContextual"/>
        </w:rPr>
        <w:t xml:space="preserve"> the </w:t>
      </w:r>
      <w:r w:rsidRPr="005D37EB" w:rsidR="00DD42BE">
        <w:rPr>
          <w:rFonts w:eastAsia="Aptos"/>
          <w:kern w:val="2"/>
          <w14:ligatures w14:val="standardContextual"/>
        </w:rPr>
        <w:t xml:space="preserve">need to address </w:t>
      </w:r>
      <w:r w:rsidRPr="005D37EB">
        <w:rPr>
          <w:rFonts w:eastAsia="Aptos"/>
          <w:kern w:val="2"/>
          <w14:ligatures w14:val="standardContextual"/>
        </w:rPr>
        <w:t>the</w:t>
      </w:r>
      <w:r w:rsidRPr="005D37EB" w:rsidR="00DD42BE">
        <w:rPr>
          <w:rFonts w:eastAsia="Aptos"/>
          <w:kern w:val="2"/>
          <w14:ligatures w14:val="standardContextual"/>
        </w:rPr>
        <w:t xml:space="preserve"> root causes of outward migration of young</w:t>
      </w:r>
      <w:r w:rsidRPr="005D37EB">
        <w:rPr>
          <w:rFonts w:eastAsia="Aptos"/>
          <w:kern w:val="2"/>
          <w14:ligatures w14:val="standardContextual"/>
        </w:rPr>
        <w:t xml:space="preserve"> and</w:t>
      </w:r>
      <w:r w:rsidRPr="005D37EB" w:rsidR="00DD42BE">
        <w:t xml:space="preserve"> </w:t>
      </w:r>
      <w:r w:rsidRPr="005D37EB" w:rsidR="00DD42BE">
        <w:rPr>
          <w:rFonts w:eastAsia="Aptos"/>
          <w:kern w:val="2"/>
          <w14:ligatures w14:val="standardContextual"/>
        </w:rPr>
        <w:t xml:space="preserve">educated people, </w:t>
      </w:r>
      <w:r w:rsidRPr="005D37EB">
        <w:rPr>
          <w:rFonts w:eastAsia="Aptos"/>
          <w:kern w:val="2"/>
          <w14:ligatures w14:val="standardContextual"/>
        </w:rPr>
        <w:t xml:space="preserve">in </w:t>
      </w:r>
      <w:r w:rsidRPr="005D37EB" w:rsidR="00DD42BE">
        <w:rPr>
          <w:rFonts w:eastAsia="Aptos"/>
          <w:kern w:val="2"/>
          <w14:ligatures w14:val="standardContextual"/>
        </w:rPr>
        <w:t xml:space="preserve">order to reduce territorial disparities </w:t>
      </w:r>
      <w:r w:rsidRPr="005D37EB">
        <w:rPr>
          <w:rFonts w:eastAsia="Aptos"/>
          <w:kern w:val="2"/>
          <w14:ligatures w14:val="standardContextual"/>
        </w:rPr>
        <w:t xml:space="preserve">and </w:t>
      </w:r>
      <w:r w:rsidRPr="005D37EB" w:rsidR="00DD42BE">
        <w:rPr>
          <w:rFonts w:eastAsia="Aptos"/>
          <w:kern w:val="2"/>
          <w14:ligatures w14:val="standardContextual"/>
        </w:rPr>
        <w:t xml:space="preserve">enhance </w:t>
      </w:r>
      <w:r w:rsidRPr="005D37EB">
        <w:rPr>
          <w:rFonts w:eastAsia="Aptos"/>
          <w:kern w:val="2"/>
          <w14:ligatures w14:val="standardContextual"/>
        </w:rPr>
        <w:t xml:space="preserve">the </w:t>
      </w:r>
      <w:r w:rsidRPr="005D37EB" w:rsidR="00DD42BE">
        <w:rPr>
          <w:rFonts w:eastAsia="Aptos"/>
          <w:kern w:val="2"/>
          <w14:ligatures w14:val="standardContextual"/>
        </w:rPr>
        <w:t xml:space="preserve">attractiveness </w:t>
      </w:r>
      <w:r w:rsidRPr="005D37EB">
        <w:rPr>
          <w:rFonts w:eastAsia="Aptos"/>
          <w:kern w:val="2"/>
          <w14:ligatures w14:val="standardContextual"/>
        </w:rPr>
        <w:t xml:space="preserve">of </w:t>
      </w:r>
      <w:r w:rsidRPr="005D37EB" w:rsidR="00DD42BE">
        <w:rPr>
          <w:rFonts w:eastAsia="Aptos"/>
          <w:kern w:val="2"/>
          <w14:ligatures w14:val="standardContextual"/>
        </w:rPr>
        <w:t>regions faced with depopulation</w:t>
      </w:r>
      <w:r w:rsidRPr="005D37EB">
        <w:rPr>
          <w:rFonts w:eastAsia="Aptos"/>
          <w:kern w:val="2"/>
          <w14:ligatures w14:val="standardContextual"/>
        </w:rPr>
        <w:t>;</w:t>
      </w:r>
    </w:p>
    <w:p w:rsidRPr="005D37EB" w:rsidR="00D43348" w:rsidP="000D1382" w:rsidRDefault="00D43348" w14:paraId="3FEDB7AE" w14:textId="77777777">
      <w:pPr>
        <w:spacing w:line="281" w:lineRule="auto"/>
        <w:rPr>
          <w:rFonts w:eastAsia="Aptos"/>
        </w:rPr>
      </w:pPr>
    </w:p>
    <w:p w:rsidRPr="00B8130A" w:rsidR="00D43348" w:rsidP="000D1382" w:rsidRDefault="00D43348" w14:paraId="1DAC679A" w14:textId="08771921">
      <w:pPr>
        <w:pStyle w:val="Heading1"/>
        <w:spacing w:line="281" w:lineRule="auto"/>
        <w:rPr>
          <w:rFonts w:eastAsia="Aptos"/>
          <w:kern w:val="2"/>
          <w14:ligatures w14:val="standardContextual"/>
        </w:rPr>
      </w:pPr>
      <w:r w:rsidRPr="005D37EB">
        <w:rPr>
          <w:rFonts w:eastAsia="Aptos"/>
          <w:kern w:val="2"/>
          <w14:ligatures w14:val="standardContextual"/>
        </w:rPr>
        <w:t xml:space="preserve">agrees with the Council that all generations </w:t>
      </w:r>
      <w:r w:rsidRPr="005D37EB" w:rsidR="00E91DA8">
        <w:rPr>
          <w:rFonts w:eastAsia="Aptos"/>
          <w:kern w:val="2"/>
          <w14:ligatures w14:val="standardContextual"/>
        </w:rPr>
        <w:t xml:space="preserve">should </w:t>
      </w:r>
      <w:r w:rsidRPr="005D37EB">
        <w:rPr>
          <w:rFonts w:eastAsia="Aptos"/>
          <w:kern w:val="2"/>
          <w14:ligatures w14:val="standardContextual"/>
        </w:rPr>
        <w:t>be empowered to harness their talents and fulfil their aspirations by reconciling family and personal aspirations with paid work</w:t>
      </w:r>
      <w:r w:rsidRPr="003B54C5">
        <w:rPr>
          <w:rFonts w:eastAsia="Aptos"/>
          <w:kern w:val="2"/>
          <w:sz w:val="24"/>
          <w:szCs w:val="24"/>
          <w:vertAlign w:val="superscript"/>
          <w14:ligatures w14:val="standardContextual"/>
        </w:rPr>
        <w:footnoteReference w:id="16"/>
      </w:r>
      <w:r w:rsidRPr="003B54C5">
        <w:rPr>
          <w:rFonts w:eastAsia="Aptos"/>
          <w:kern w:val="2"/>
          <w14:ligatures w14:val="standardContextual"/>
        </w:rPr>
        <w:t xml:space="preserve">, and notes that complementing these efforts, legal </w:t>
      </w:r>
      <w:r w:rsidRPr="00B8130A">
        <w:rPr>
          <w:rFonts w:eastAsia="Aptos"/>
          <w:kern w:val="2"/>
          <w14:ligatures w14:val="standardContextual"/>
        </w:rPr>
        <w:t>migration and the effective integration of third country nationals can help alleviate labour market pressures;</w:t>
      </w:r>
    </w:p>
    <w:p w:rsidRPr="005D37EB" w:rsidR="00D43348" w:rsidP="000D1382" w:rsidRDefault="00D43348" w14:paraId="7A0F4D2B" w14:textId="77777777">
      <w:pPr>
        <w:spacing w:line="281" w:lineRule="auto"/>
        <w:rPr>
          <w:rFonts w:eastAsia="Aptos"/>
        </w:rPr>
      </w:pPr>
    </w:p>
    <w:p w:rsidRPr="005D37EB" w:rsidR="00D43348" w:rsidP="000D1382" w:rsidRDefault="00257D70" w14:paraId="38105CBD" w14:textId="7530D915">
      <w:pPr>
        <w:pStyle w:val="Heading1"/>
        <w:spacing w:line="281" w:lineRule="auto"/>
        <w:rPr>
          <w:rFonts w:eastAsia="Aptos"/>
          <w:kern w:val="2"/>
          <w14:ligatures w14:val="standardContextual"/>
        </w:rPr>
      </w:pPr>
      <w:r w:rsidRPr="005D37EB">
        <w:rPr>
          <w:rFonts w:eastAsia="Aptos"/>
          <w:kern w:val="2"/>
          <w14:ligatures w14:val="standardContextual"/>
        </w:rPr>
        <w:t>note</w:t>
      </w:r>
      <w:r w:rsidRPr="005D37EB" w:rsidR="00D43348">
        <w:rPr>
          <w:rFonts w:eastAsia="Aptos"/>
          <w:kern w:val="2"/>
          <w14:ligatures w14:val="standardContextual"/>
        </w:rPr>
        <w:t xml:space="preserve">s that the European Commission </w:t>
      </w:r>
      <w:r w:rsidRPr="005D37EB">
        <w:rPr>
          <w:rFonts w:eastAsia="Aptos"/>
          <w:kern w:val="2"/>
          <w14:ligatures w14:val="standardContextual"/>
        </w:rPr>
        <w:t>undertook various initiatives in the past</w:t>
      </w:r>
      <w:r w:rsidRPr="005D37EB" w:rsidR="00D43348">
        <w:rPr>
          <w:rFonts w:eastAsia="Aptos"/>
          <w:kern w:val="2"/>
          <w14:ligatures w14:val="standardContextual"/>
        </w:rPr>
        <w:t>,</w:t>
      </w:r>
      <w:r w:rsidRPr="005D37EB">
        <w:rPr>
          <w:rFonts w:eastAsia="Aptos"/>
          <w:kern w:val="2"/>
          <w14:ligatures w14:val="standardContextual"/>
        </w:rPr>
        <w:t xml:space="preserve"> including, among others</w:t>
      </w:r>
      <w:r w:rsidRPr="005D37EB" w:rsidR="00D43348">
        <w:rPr>
          <w:rFonts w:eastAsia="Aptos"/>
          <w:kern w:val="2"/>
          <w14:ligatures w14:val="standardContextual"/>
        </w:rPr>
        <w:t xml:space="preserve">, the report on demographic change, the Demography Toolbox, the talent booster mechanism, the </w:t>
      </w:r>
      <w:r w:rsidRPr="005D37EB" w:rsidR="00182584">
        <w:rPr>
          <w:rFonts w:eastAsia="Aptos"/>
          <w:kern w:val="2"/>
          <w14:ligatures w14:val="standardContextual"/>
        </w:rPr>
        <w:t>H</w:t>
      </w:r>
      <w:r w:rsidRPr="005D37EB" w:rsidR="00D43348">
        <w:rPr>
          <w:rFonts w:eastAsia="Aptos"/>
          <w:kern w:val="2"/>
          <w14:ligatures w14:val="standardContextual"/>
        </w:rPr>
        <w:t xml:space="preserve">arnessing </w:t>
      </w:r>
      <w:r w:rsidRPr="005D37EB" w:rsidR="00182584">
        <w:rPr>
          <w:rFonts w:eastAsia="Aptos"/>
          <w:kern w:val="2"/>
          <w14:ligatures w14:val="standardContextual"/>
        </w:rPr>
        <w:t>T</w:t>
      </w:r>
      <w:r w:rsidRPr="005D37EB" w:rsidR="00D43348">
        <w:rPr>
          <w:rFonts w:eastAsia="Aptos"/>
          <w:kern w:val="2"/>
          <w14:ligatures w14:val="standardContextual"/>
        </w:rPr>
        <w:t xml:space="preserve">alent </w:t>
      </w:r>
      <w:r w:rsidRPr="005D37EB" w:rsidR="00182584">
        <w:rPr>
          <w:rFonts w:eastAsia="Aptos"/>
          <w:kern w:val="2"/>
          <w14:ligatures w14:val="standardContextual"/>
        </w:rPr>
        <w:t>P</w:t>
      </w:r>
      <w:r w:rsidRPr="005D37EB" w:rsidR="00D43348">
        <w:rPr>
          <w:rFonts w:eastAsia="Aptos"/>
          <w:kern w:val="2"/>
          <w14:ligatures w14:val="standardContextual"/>
        </w:rPr>
        <w:t>latform, the reinforced Youth Guarantee, the European Child Guarantee, the 2024 reinforced long-term vision on the EU</w:t>
      </w:r>
      <w:r w:rsidRPr="005D37EB" w:rsidR="006B2199">
        <w:rPr>
          <w:rFonts w:eastAsia="Aptos"/>
          <w:kern w:val="2"/>
          <w14:ligatures w14:val="standardContextual"/>
        </w:rPr>
        <w:t>’</w:t>
      </w:r>
      <w:r w:rsidRPr="005D37EB" w:rsidR="00D43348">
        <w:rPr>
          <w:rFonts w:eastAsia="Aptos"/>
          <w:kern w:val="2"/>
          <w14:ligatures w14:val="standardContextual"/>
        </w:rPr>
        <w:t xml:space="preserve">s rural areas, the European </w:t>
      </w:r>
      <w:r w:rsidRPr="005D37EB" w:rsidR="00CF6FAB">
        <w:rPr>
          <w:rFonts w:eastAsia="Aptos"/>
          <w:kern w:val="2"/>
          <w14:ligatures w14:val="standardContextual"/>
        </w:rPr>
        <w:t>C</w:t>
      </w:r>
      <w:r w:rsidRPr="005D37EB" w:rsidR="00D43348">
        <w:rPr>
          <w:rFonts w:eastAsia="Aptos"/>
          <w:kern w:val="2"/>
          <w14:ligatures w14:val="standardContextual"/>
        </w:rPr>
        <w:t xml:space="preserve">are </w:t>
      </w:r>
      <w:r w:rsidRPr="005D37EB" w:rsidR="00CF6FAB">
        <w:rPr>
          <w:rFonts w:eastAsia="Aptos"/>
          <w:kern w:val="2"/>
          <w14:ligatures w14:val="standardContextual"/>
        </w:rPr>
        <w:t>S</w:t>
      </w:r>
      <w:r w:rsidRPr="005D37EB" w:rsidR="00D43348">
        <w:rPr>
          <w:rFonts w:eastAsia="Aptos"/>
          <w:kern w:val="2"/>
          <w14:ligatures w14:val="standardContextual"/>
        </w:rPr>
        <w:t>trategy, the European Skills Agenda, the Digital Education Action Plan</w:t>
      </w:r>
      <w:r w:rsidRPr="005D37EB" w:rsidR="00813288">
        <w:rPr>
          <w:rFonts w:eastAsia="Aptos"/>
          <w:kern w:val="2"/>
          <w14:ligatures w14:val="standardContextual"/>
        </w:rPr>
        <w:t>,</w:t>
      </w:r>
      <w:r w:rsidRPr="005D37EB" w:rsidR="00813288">
        <w:t xml:space="preserve"> </w:t>
      </w:r>
      <w:r w:rsidRPr="005D37EB" w:rsidR="00813288">
        <w:rPr>
          <w:rFonts w:eastAsia="Aptos"/>
          <w:kern w:val="2"/>
          <w14:ligatures w14:val="standardContextual"/>
        </w:rPr>
        <w:t xml:space="preserve">the Green Paper on Ageing, the Gender Equality Strategy 2020-2025, the LGBTIQ Equality Strategy 2020-2025 </w:t>
      </w:r>
      <w:r w:rsidRPr="005D37EB" w:rsidR="00D43348">
        <w:rPr>
          <w:rFonts w:eastAsia="Aptos"/>
          <w:kern w:val="2"/>
          <w14:ligatures w14:val="standardContextual"/>
        </w:rPr>
        <w:t xml:space="preserve">and the </w:t>
      </w:r>
      <w:r w:rsidRPr="005D37EB" w:rsidR="00813288">
        <w:rPr>
          <w:rFonts w:eastAsia="Aptos"/>
          <w:kern w:val="2"/>
          <w14:ligatures w14:val="standardContextual"/>
        </w:rPr>
        <w:t xml:space="preserve">updated Guidance </w:t>
      </w:r>
      <w:r w:rsidRPr="005D37EB" w:rsidR="00D43348">
        <w:rPr>
          <w:rFonts w:eastAsia="Aptos"/>
          <w:kern w:val="2"/>
          <w14:ligatures w14:val="standardContextual"/>
        </w:rPr>
        <w:t>on</w:t>
      </w:r>
      <w:r w:rsidRPr="005D37EB" w:rsidR="00813288">
        <w:t xml:space="preserve"> </w:t>
      </w:r>
      <w:r w:rsidRPr="005D37EB" w:rsidR="00813288">
        <w:rPr>
          <w:rFonts w:eastAsia="Aptos"/>
          <w:kern w:val="2"/>
          <w14:ligatures w14:val="standardContextual"/>
        </w:rPr>
        <w:t>the right of free movement of EU citizens and their families</w:t>
      </w:r>
      <w:r w:rsidRPr="005D37EB" w:rsidR="00D43348">
        <w:rPr>
          <w:rFonts w:eastAsia="Aptos"/>
          <w:kern w:val="2"/>
          <w14:ligatures w14:val="standardContextual"/>
        </w:rPr>
        <w:t>;</w:t>
      </w:r>
    </w:p>
    <w:p w:rsidRPr="005D37EB" w:rsidR="00417692" w:rsidP="00417692" w:rsidRDefault="00417692" w14:paraId="31DAA15D" w14:textId="2B6D33E5">
      <w:pPr>
        <w:rPr>
          <w:rFonts w:eastAsia="Aptos"/>
        </w:rPr>
      </w:pPr>
    </w:p>
    <w:p w:rsidRPr="003B54C5" w:rsidR="00417692" w:rsidP="00417692" w:rsidRDefault="00417692" w14:paraId="176C9A22" w14:textId="19FC9164">
      <w:pPr>
        <w:pStyle w:val="Heading1"/>
        <w:spacing w:line="281" w:lineRule="auto"/>
        <w:rPr>
          <w:rFonts w:eastAsia="Aptos"/>
          <w:kern w:val="2"/>
          <w14:ligatures w14:val="standardContextual"/>
        </w:rPr>
      </w:pPr>
      <w:r w:rsidRPr="00A4317B">
        <w:rPr>
          <w:rFonts w:eastAsia="Aptos"/>
          <w:kern w:val="2"/>
          <w14:ligatures w14:val="standardContextual"/>
        </w:rPr>
        <w:t xml:space="preserve">welcomes </w:t>
      </w:r>
      <w:r w:rsidR="00AD53A2">
        <w:rPr>
          <w:rFonts w:eastAsia="Aptos"/>
          <w:kern w:val="2"/>
          <w14:ligatures w14:val="standardContextual"/>
        </w:rPr>
        <w:t xml:space="preserve">the fact </w:t>
      </w:r>
      <w:r w:rsidRPr="00A4317B">
        <w:rPr>
          <w:rFonts w:eastAsia="Aptos"/>
          <w:kern w:val="2"/>
          <w14:ligatures w14:val="standardContextual"/>
        </w:rPr>
        <w:t>that the European Economic and Social Committee began evaluating ‘The impact of demography on Social Europe’</w:t>
      </w:r>
      <w:r w:rsidRPr="003B54C5">
        <w:rPr>
          <w:rStyle w:val="FootnoteReference"/>
          <w:rFonts w:eastAsia="Aptos"/>
          <w:kern w:val="2"/>
          <w14:ligatures w14:val="standardContextual"/>
        </w:rPr>
        <w:footnoteReference w:id="17"/>
      </w:r>
      <w:r w:rsidRPr="00A4317B">
        <w:rPr>
          <w:rFonts w:eastAsia="Aptos"/>
          <w:kern w:val="2"/>
          <w14:ligatures w14:val="standardContextual"/>
        </w:rPr>
        <w:t>, contributing to existing institutional efforts;</w:t>
      </w:r>
    </w:p>
    <w:p w:rsidRPr="005D37EB" w:rsidR="00D43348" w:rsidP="000D1382" w:rsidRDefault="00D43348" w14:paraId="66C28AB6" w14:textId="77777777">
      <w:pPr>
        <w:spacing w:line="281" w:lineRule="auto"/>
        <w:rPr>
          <w:rFonts w:eastAsia="Aptos"/>
        </w:rPr>
      </w:pPr>
    </w:p>
    <w:p w:rsidRPr="005D37EB" w:rsidR="00D43348" w:rsidP="000D1382" w:rsidRDefault="00D43348" w14:paraId="50504FF8" w14:textId="102D6367">
      <w:pPr>
        <w:pStyle w:val="Heading1"/>
        <w:spacing w:line="281" w:lineRule="auto"/>
        <w:rPr>
          <w:rFonts w:eastAsia="Aptos"/>
          <w:kern w:val="2"/>
          <w14:ligatures w14:val="standardContextual"/>
        </w:rPr>
      </w:pPr>
      <w:r w:rsidRPr="005D37EB">
        <w:rPr>
          <w:rFonts w:eastAsia="Aptos"/>
          <w:kern w:val="2"/>
          <w14:ligatures w14:val="standardContextual"/>
        </w:rPr>
        <w:t>points out that the Demography Toolbox which is crucial for planning and implementing strategies to enhance human capital</w:t>
      </w:r>
      <w:r w:rsidRPr="005D37EB" w:rsidR="009944E5">
        <w:rPr>
          <w:rFonts w:eastAsia="Aptos"/>
          <w:kern w:val="2"/>
          <w14:ligatures w14:val="standardContextual"/>
        </w:rPr>
        <w:t>,</w:t>
      </w:r>
      <w:r w:rsidRPr="005D37EB">
        <w:rPr>
          <w:rFonts w:eastAsia="Aptos"/>
          <w:kern w:val="2"/>
          <w14:ligatures w14:val="standardContextual"/>
        </w:rPr>
        <w:t xml:space="preserve"> is necessarily focused on competitiveness due to the European Council</w:t>
      </w:r>
      <w:r w:rsidRPr="005D37EB" w:rsidR="006B2199">
        <w:rPr>
          <w:rFonts w:eastAsia="Aptos"/>
          <w:kern w:val="2"/>
          <w14:ligatures w14:val="standardContextual"/>
        </w:rPr>
        <w:t>’</w:t>
      </w:r>
      <w:r w:rsidRPr="005D37EB">
        <w:rPr>
          <w:rFonts w:eastAsia="Aptos"/>
          <w:kern w:val="2"/>
          <w14:ligatures w14:val="standardContextual"/>
        </w:rPr>
        <w:t>s call</w:t>
      </w:r>
      <w:r w:rsidRPr="003B54C5">
        <w:rPr>
          <w:rFonts w:eastAsia="Aptos"/>
          <w:kern w:val="2"/>
          <w:sz w:val="24"/>
          <w:szCs w:val="24"/>
          <w:vertAlign w:val="superscript"/>
          <w14:ligatures w14:val="standardContextual"/>
        </w:rPr>
        <w:footnoteReference w:id="18"/>
      </w:r>
      <w:r w:rsidRPr="003B54C5">
        <w:rPr>
          <w:rFonts w:eastAsia="Aptos"/>
          <w:kern w:val="2"/>
          <w:vertAlign w:val="superscript"/>
          <w14:ligatures w14:val="standardContextual"/>
        </w:rPr>
        <w:t xml:space="preserve"> </w:t>
      </w:r>
      <w:r w:rsidRPr="00B8130A">
        <w:rPr>
          <w:rFonts w:eastAsia="Aptos"/>
          <w:kern w:val="2"/>
          <w14:ligatures w14:val="standardContextual"/>
        </w:rPr>
        <w:t>and explored the possible pillars within this focus; however</w:t>
      </w:r>
      <w:r w:rsidRPr="00B8130A" w:rsidR="009944E5">
        <w:rPr>
          <w:rFonts w:eastAsia="Aptos"/>
          <w:kern w:val="2"/>
          <w14:ligatures w14:val="standardContextual"/>
        </w:rPr>
        <w:t>,</w:t>
      </w:r>
      <w:r w:rsidRPr="005D37EB">
        <w:rPr>
          <w:rFonts w:eastAsia="Aptos"/>
          <w:kern w:val="2"/>
          <w14:ligatures w14:val="standardContextual"/>
        </w:rPr>
        <w:t xml:space="preserve"> notes that this does not prevent the Commission from continuing its efforts on the less pronounced territorial aspects, in accordance with Article 174 TFEU which envisages reduc</w:t>
      </w:r>
      <w:r w:rsidRPr="005D37EB" w:rsidR="009944E5">
        <w:rPr>
          <w:rFonts w:eastAsia="Aptos"/>
          <w:kern w:val="2"/>
          <w14:ligatures w14:val="standardContextual"/>
        </w:rPr>
        <w:t>ing</w:t>
      </w:r>
      <w:r w:rsidRPr="005D37EB">
        <w:rPr>
          <w:rFonts w:eastAsia="Aptos"/>
          <w:kern w:val="2"/>
          <w14:ligatures w14:val="standardContextual"/>
        </w:rPr>
        <w:t xml:space="preserve"> regional disparities and offers the necessary legal foundation for a wider application of European-level instruments and the required financial resources, and it would be appropriate to provide guidance on regional needs concerning specific tasks aligned with these territorial considerations</w:t>
      </w:r>
      <w:r w:rsidRPr="005D37EB" w:rsidR="00813288">
        <w:rPr>
          <w:rFonts w:eastAsia="Aptos"/>
          <w:kern w:val="2"/>
          <w14:ligatures w14:val="standardContextual"/>
        </w:rPr>
        <w:t>. Financial resources must promote a balanced and enabling approach to demographic issues. The EU should, in the context of cohesion policy in particular, also work to rebalance economic and social conditions in Europe</w:t>
      </w:r>
      <w:r w:rsidRPr="005D37EB">
        <w:rPr>
          <w:rFonts w:eastAsia="Aptos"/>
          <w:kern w:val="2"/>
          <w14:ligatures w14:val="standardContextual"/>
        </w:rPr>
        <w:t>;</w:t>
      </w:r>
    </w:p>
    <w:p w:rsidRPr="005D37EB" w:rsidR="003F7A9E" w:rsidP="000D1382" w:rsidRDefault="003F7A9E" w14:paraId="5CCE5DE7" w14:textId="5A6C6C41">
      <w:pPr>
        <w:spacing w:line="281" w:lineRule="auto"/>
      </w:pPr>
    </w:p>
    <w:p w:rsidRPr="005D37EB" w:rsidR="003A4098" w:rsidP="000D1382" w:rsidRDefault="003A4098" w14:paraId="0C81D734" w14:textId="6C299458">
      <w:pPr>
        <w:keepNext/>
        <w:spacing w:line="281" w:lineRule="auto"/>
        <w:rPr>
          <w:i/>
          <w:iCs/>
        </w:rPr>
      </w:pPr>
      <w:r w:rsidRPr="005D37EB">
        <w:rPr>
          <w:rFonts w:eastAsia="Calibri"/>
          <w:i/>
          <w:iCs/>
          <w:kern w:val="2"/>
          <w14:ligatures w14:val="standardContextual"/>
        </w:rPr>
        <w:t>Promoting intergenerational fairness and fostering parenthood</w:t>
      </w:r>
    </w:p>
    <w:p w:rsidRPr="005D37EB" w:rsidR="003F7A9E" w:rsidP="000D1382" w:rsidRDefault="003F7A9E" w14:paraId="277F2D93" w14:textId="77777777">
      <w:pPr>
        <w:pStyle w:val="Heading1"/>
        <w:keepNext/>
        <w:numPr>
          <w:ilvl w:val="0"/>
          <w:numId w:val="0"/>
        </w:numPr>
        <w:spacing w:line="281" w:lineRule="auto"/>
      </w:pPr>
    </w:p>
    <w:p w:rsidRPr="005D37EB" w:rsidR="003A4098" w:rsidP="000D1382" w:rsidRDefault="003A4098" w14:paraId="16CB05A9" w14:textId="4E5B33F3">
      <w:pPr>
        <w:pStyle w:val="Heading1"/>
        <w:spacing w:line="281" w:lineRule="auto"/>
        <w:rPr>
          <w:rFonts w:eastAsia="Aptos"/>
          <w:kern w:val="2"/>
          <w14:ligatures w14:val="standardContextual"/>
        </w:rPr>
      </w:pPr>
      <w:r w:rsidRPr="005D37EB">
        <w:rPr>
          <w:rFonts w:eastAsia="Aptos"/>
          <w:kern w:val="2"/>
          <w14:ligatures w14:val="standardContextual"/>
        </w:rPr>
        <w:t xml:space="preserve">notes that the </w:t>
      </w:r>
      <w:r w:rsidRPr="005D37EB" w:rsidR="005403EE">
        <w:rPr>
          <w:rFonts w:eastAsia="Aptos"/>
          <w:kern w:val="2"/>
          <w14:ligatures w14:val="standardContextual"/>
        </w:rPr>
        <w:t>COVID</w:t>
      </w:r>
      <w:r w:rsidRPr="005D37EB" w:rsidR="009944E5">
        <w:rPr>
          <w:rFonts w:eastAsia="Aptos"/>
          <w:kern w:val="2"/>
          <w14:ligatures w14:val="standardContextual"/>
        </w:rPr>
        <w:t xml:space="preserve"> </w:t>
      </w:r>
      <w:r w:rsidRPr="005D37EB">
        <w:rPr>
          <w:rFonts w:eastAsia="Aptos"/>
          <w:kern w:val="2"/>
          <w14:ligatures w14:val="standardContextual"/>
        </w:rPr>
        <w:t xml:space="preserve">pandemic has </w:t>
      </w:r>
      <w:r w:rsidRPr="005D37EB" w:rsidR="009944E5">
        <w:rPr>
          <w:rFonts w:eastAsia="Aptos"/>
          <w:kern w:val="2"/>
          <w14:ligatures w14:val="standardContextual"/>
        </w:rPr>
        <w:t xml:space="preserve">held </w:t>
      </w:r>
      <w:r w:rsidRPr="005D37EB">
        <w:rPr>
          <w:rFonts w:eastAsia="Aptos"/>
          <w:kern w:val="2"/>
          <w14:ligatures w14:val="standardContextual"/>
        </w:rPr>
        <w:t xml:space="preserve">a magnifying glass </w:t>
      </w:r>
      <w:r w:rsidRPr="005D37EB" w:rsidR="009944E5">
        <w:rPr>
          <w:rFonts w:eastAsia="Aptos"/>
          <w:kern w:val="2"/>
          <w14:ligatures w14:val="standardContextual"/>
        </w:rPr>
        <w:t xml:space="preserve">to </w:t>
      </w:r>
      <w:r w:rsidRPr="005D37EB">
        <w:rPr>
          <w:rFonts w:eastAsia="Aptos"/>
          <w:kern w:val="2"/>
          <w14:ligatures w14:val="standardContextual"/>
        </w:rPr>
        <w:t>the need to improve the resilience of European care systems, and that care services</w:t>
      </w:r>
      <w:r w:rsidRPr="005D37EB" w:rsidR="009E07D1">
        <w:t xml:space="preserve"> </w:t>
      </w:r>
      <w:r w:rsidRPr="005D37EB" w:rsidR="009E07D1">
        <w:rPr>
          <w:rFonts w:eastAsia="Aptos"/>
          <w:kern w:val="2"/>
          <w14:ligatures w14:val="standardContextual"/>
        </w:rPr>
        <w:t>can be insufficient, which has</w:t>
      </w:r>
      <w:r w:rsidRPr="005D37EB">
        <w:rPr>
          <w:rFonts w:eastAsia="Aptos"/>
          <w:kern w:val="2"/>
          <w14:ligatures w14:val="standardContextual"/>
        </w:rPr>
        <w:t xml:space="preserve"> a </w:t>
      </w:r>
      <w:r w:rsidRPr="005D37EB" w:rsidR="009E07D1">
        <w:rPr>
          <w:rFonts w:eastAsia="Aptos"/>
          <w:kern w:val="2"/>
          <w14:ligatures w14:val="standardContextual"/>
        </w:rPr>
        <w:t xml:space="preserve">bigger </w:t>
      </w:r>
      <w:r w:rsidRPr="005D37EB">
        <w:rPr>
          <w:rFonts w:eastAsia="Aptos"/>
          <w:kern w:val="2"/>
          <w14:ligatures w14:val="standardContextual"/>
        </w:rPr>
        <w:t xml:space="preserve">impact on women as supplementary or informal care responsibilities still fall predominantly </w:t>
      </w:r>
      <w:r w:rsidRPr="005D37EB" w:rsidR="009944E5">
        <w:rPr>
          <w:rFonts w:eastAsia="Aptos"/>
          <w:kern w:val="2"/>
          <w14:ligatures w14:val="standardContextual"/>
        </w:rPr>
        <w:t xml:space="preserve">to </w:t>
      </w:r>
      <w:r w:rsidRPr="005D37EB">
        <w:rPr>
          <w:rFonts w:eastAsia="Aptos"/>
          <w:kern w:val="2"/>
          <w14:ligatures w14:val="standardContextual"/>
        </w:rPr>
        <w:t>them and this affects their work-life balance and options to take on paid work;</w:t>
      </w:r>
      <w:r w:rsidRPr="005D37EB" w:rsidR="00BC179F">
        <w:t xml:space="preserve"> </w:t>
      </w:r>
      <w:r w:rsidRPr="005D37EB" w:rsidR="00BC179F">
        <w:rPr>
          <w:rFonts w:eastAsia="Aptos"/>
          <w:kern w:val="2"/>
          <w14:ligatures w14:val="standardContextual"/>
        </w:rPr>
        <w:t>further stresses the importance of policies that promote shared caregiving responsibilities. The COVID-19 pandemic has also seriously called into question support services for young people, who are, generally, struggling the most post-pandemic and often withdrawing from society, preventing positive social and employment integration. Child and adolescent services – in line with the European plans to prevent youth disaffection – need to step up their efforts to manage and prevent the worsening of the phenomenon of the post-pandemic social withdrawal of young people;</w:t>
      </w:r>
    </w:p>
    <w:p w:rsidRPr="005D37EB" w:rsidR="009E07D1" w:rsidP="000D1382" w:rsidRDefault="009E07D1" w14:paraId="7A2C96A0" w14:textId="1B9B71BC">
      <w:pPr>
        <w:spacing w:line="281" w:lineRule="auto"/>
        <w:rPr>
          <w:rFonts w:eastAsia="Aptos"/>
        </w:rPr>
      </w:pPr>
    </w:p>
    <w:p w:rsidRPr="005D37EB" w:rsidR="009E07D1" w:rsidP="000D1382" w:rsidRDefault="005403EE" w14:paraId="35670BA5" w14:textId="6522346D">
      <w:pPr>
        <w:pStyle w:val="Heading1"/>
        <w:spacing w:line="281" w:lineRule="auto"/>
        <w:rPr>
          <w:rFonts w:eastAsia="Aptos"/>
          <w:kern w:val="2"/>
          <w14:ligatures w14:val="standardContextual"/>
        </w:rPr>
      </w:pPr>
      <w:r w:rsidRPr="005D37EB">
        <w:rPr>
          <w:rFonts w:eastAsia="Aptos"/>
          <w:kern w:val="2"/>
          <w14:ligatures w14:val="standardContextual"/>
        </w:rPr>
        <w:t xml:space="preserve">also </w:t>
      </w:r>
      <w:r w:rsidRPr="005D37EB" w:rsidR="009E07D1">
        <w:rPr>
          <w:rFonts w:eastAsia="Aptos"/>
          <w:kern w:val="2"/>
          <w14:ligatures w14:val="standardContextual"/>
        </w:rPr>
        <w:t>supports the vision presented by the European Commission in the Demography Toolbox, in particular the demand for M</w:t>
      </w:r>
      <w:r w:rsidRPr="005D37EB">
        <w:rPr>
          <w:rFonts w:eastAsia="Aptos"/>
          <w:kern w:val="2"/>
          <w14:ligatures w14:val="standardContextual"/>
        </w:rPr>
        <w:t xml:space="preserve">ember </w:t>
      </w:r>
      <w:r w:rsidRPr="005D37EB" w:rsidR="009E07D1">
        <w:rPr>
          <w:rFonts w:eastAsia="Aptos"/>
          <w:kern w:val="2"/>
          <w14:ligatures w14:val="standardContextual"/>
        </w:rPr>
        <w:t>S</w:t>
      </w:r>
      <w:r w:rsidRPr="005D37EB">
        <w:rPr>
          <w:rFonts w:eastAsia="Aptos"/>
          <w:kern w:val="2"/>
          <w14:ligatures w14:val="standardContextual"/>
        </w:rPr>
        <w:t>tates</w:t>
      </w:r>
      <w:r w:rsidRPr="005D37EB" w:rsidR="009E07D1">
        <w:rPr>
          <w:rFonts w:eastAsia="Aptos"/>
          <w:kern w:val="2"/>
          <w14:ligatures w14:val="standardContextual"/>
        </w:rPr>
        <w:t>' demography policies to be grounded in local realities and prioritise gender equality, non-discrimination and intergenerational fairness;</w:t>
      </w:r>
    </w:p>
    <w:p w:rsidRPr="005D37EB" w:rsidR="003A4098" w:rsidP="000D1382" w:rsidRDefault="003A4098" w14:paraId="05A4D793" w14:textId="77777777">
      <w:pPr>
        <w:spacing w:line="281" w:lineRule="auto"/>
        <w:rPr>
          <w:rFonts w:eastAsia="Aptos"/>
        </w:rPr>
      </w:pPr>
    </w:p>
    <w:p w:rsidRPr="005D37EB" w:rsidR="003A4098" w:rsidP="000D1382" w:rsidRDefault="003A4098" w14:paraId="1FEED834" w14:textId="32497A04">
      <w:pPr>
        <w:pStyle w:val="Heading1"/>
        <w:spacing w:line="281" w:lineRule="auto"/>
        <w:rPr>
          <w:rFonts w:eastAsia="Aptos"/>
          <w:kern w:val="2"/>
          <w14:ligatures w14:val="standardContextual"/>
        </w:rPr>
      </w:pPr>
      <w:r w:rsidRPr="005D37EB">
        <w:rPr>
          <w:rFonts w:eastAsia="Aptos"/>
          <w:kern w:val="2"/>
          <w14:ligatures w14:val="standardContextual"/>
        </w:rPr>
        <w:t xml:space="preserve">strongly endorses the importance of intergenerational </w:t>
      </w:r>
      <w:r w:rsidRPr="005D37EB" w:rsidR="009E07D1">
        <w:rPr>
          <w:rFonts w:eastAsia="Aptos"/>
          <w:kern w:val="2"/>
          <w14:ligatures w14:val="standardContextual"/>
        </w:rPr>
        <w:t xml:space="preserve">solidarity and </w:t>
      </w:r>
      <w:r w:rsidRPr="005D37EB">
        <w:rPr>
          <w:rFonts w:eastAsia="Aptos"/>
          <w:kern w:val="2"/>
          <w14:ligatures w14:val="standardContextual"/>
        </w:rPr>
        <w:t>cooperation within families, in the workplace and in local communities</w:t>
      </w:r>
      <w:r w:rsidRPr="005D37EB" w:rsidR="009E07D1">
        <w:rPr>
          <w:rFonts w:eastAsia="Aptos"/>
          <w:kern w:val="2"/>
          <w14:ligatures w14:val="standardContextual"/>
        </w:rPr>
        <w:t xml:space="preserve">. This includes fostering active ageing and enabling skills transfers between generations, which are empowering factors for a better work-life balance and for </w:t>
      </w:r>
      <w:r w:rsidRPr="005D37EB" w:rsidR="00BC179F">
        <w:rPr>
          <w:rFonts w:eastAsia="Aptos"/>
          <w:kern w:val="2"/>
          <w14:ligatures w14:val="standardContextual"/>
        </w:rPr>
        <w:t>women and men</w:t>
      </w:r>
      <w:r w:rsidRPr="005D37EB" w:rsidR="009E07D1">
        <w:rPr>
          <w:rFonts w:eastAsia="Aptos"/>
          <w:kern w:val="2"/>
          <w14:ligatures w14:val="standardContextual"/>
        </w:rPr>
        <w:t xml:space="preserve"> of all ages</w:t>
      </w:r>
      <w:r w:rsidRPr="005D37EB">
        <w:rPr>
          <w:rFonts w:eastAsia="Aptos"/>
          <w:kern w:val="2"/>
          <w14:ligatures w14:val="standardContextual"/>
        </w:rPr>
        <w:t xml:space="preserve"> to </w:t>
      </w:r>
      <w:r w:rsidRPr="005D37EB" w:rsidR="009E07D1">
        <w:rPr>
          <w:rFonts w:eastAsia="Aptos"/>
          <w:kern w:val="2"/>
          <w14:ligatures w14:val="standardContextual"/>
        </w:rPr>
        <w:t xml:space="preserve">live independent, healthy, and fulfilling lives. Special attention should be given to </w:t>
      </w:r>
      <w:r w:rsidRPr="005D37EB">
        <w:rPr>
          <w:rFonts w:eastAsia="Aptos"/>
          <w:kern w:val="2"/>
          <w14:ligatures w14:val="standardContextual"/>
        </w:rPr>
        <w:t>rural areas where the median age is high</w:t>
      </w:r>
      <w:r w:rsidRPr="005D37EB" w:rsidR="009E07D1">
        <w:rPr>
          <w:rFonts w:eastAsia="Aptos"/>
          <w:kern w:val="2"/>
          <w14:ligatures w14:val="standardContextual"/>
        </w:rPr>
        <w:t>, ensuring that these efforts are inclusive and equitable, and not seen as a sole solution to low fertility rates</w:t>
      </w:r>
      <w:r w:rsidRPr="005D37EB" w:rsidR="00BC179F">
        <w:rPr>
          <w:rFonts w:eastAsia="Aptos"/>
          <w:kern w:val="2"/>
          <w14:ligatures w14:val="standardContextual"/>
        </w:rPr>
        <w:t>.</w:t>
      </w:r>
      <w:r w:rsidRPr="005D37EB" w:rsidR="00BC179F">
        <w:t xml:space="preserve"> </w:t>
      </w:r>
      <w:r w:rsidRPr="005D37EB" w:rsidR="00BC179F">
        <w:rPr>
          <w:rFonts w:eastAsia="Aptos"/>
          <w:kern w:val="2"/>
          <w14:ligatures w14:val="standardContextual"/>
        </w:rPr>
        <w:t>This also means developing programmes to encourage young people to stay in these areas, as well creating job and training opportunities that attract new generations</w:t>
      </w:r>
      <w:r w:rsidRPr="005D37EB">
        <w:rPr>
          <w:rFonts w:eastAsia="Aptos"/>
          <w:kern w:val="2"/>
          <w14:ligatures w14:val="standardContextual"/>
        </w:rPr>
        <w:t xml:space="preserve">; </w:t>
      </w:r>
    </w:p>
    <w:p w:rsidRPr="005D37EB" w:rsidR="003A4098" w:rsidP="000D1382" w:rsidRDefault="003A4098" w14:paraId="28E90667" w14:textId="77777777">
      <w:pPr>
        <w:spacing w:line="281" w:lineRule="auto"/>
        <w:rPr>
          <w:rFonts w:eastAsia="Aptos"/>
        </w:rPr>
      </w:pPr>
    </w:p>
    <w:p w:rsidRPr="005D37EB" w:rsidR="003A4098" w:rsidP="000D1382" w:rsidRDefault="003A4098" w14:paraId="0EA76A26" w14:textId="3723D34E">
      <w:pPr>
        <w:pStyle w:val="Heading1"/>
        <w:spacing w:line="281" w:lineRule="auto"/>
        <w:rPr>
          <w:rFonts w:eastAsia="Aptos"/>
          <w:kern w:val="2"/>
          <w14:ligatures w14:val="standardContextual"/>
        </w:rPr>
      </w:pPr>
      <w:r w:rsidRPr="005D37EB">
        <w:rPr>
          <w:rFonts w:eastAsia="Aptos"/>
          <w:kern w:val="2"/>
          <w14:ligatures w14:val="standardContextual"/>
        </w:rPr>
        <w:t xml:space="preserve">stresses that Member States </w:t>
      </w:r>
      <w:r w:rsidRPr="005D37EB" w:rsidR="00D00001">
        <w:rPr>
          <w:rFonts w:eastAsia="Aptos"/>
          <w:kern w:val="2"/>
          <w14:ligatures w14:val="standardContextual"/>
        </w:rPr>
        <w:t xml:space="preserve">must </w:t>
      </w:r>
      <w:r w:rsidRPr="005D37EB">
        <w:rPr>
          <w:rFonts w:eastAsia="Aptos"/>
          <w:kern w:val="2"/>
          <w14:ligatures w14:val="standardContextual"/>
        </w:rPr>
        <w:t>implement a wide range of measures to implement the Council recommendations on access to affordable high-quality long-term care</w:t>
      </w:r>
      <w:r w:rsidRPr="003B54C5">
        <w:rPr>
          <w:rFonts w:eastAsia="Aptos"/>
          <w:kern w:val="2"/>
          <w:sz w:val="24"/>
          <w:szCs w:val="24"/>
          <w:vertAlign w:val="superscript"/>
          <w14:ligatures w14:val="standardContextual"/>
        </w:rPr>
        <w:footnoteReference w:id="19"/>
      </w:r>
      <w:r w:rsidRPr="003B54C5" w:rsidR="004A7B58">
        <w:rPr>
          <w:rFonts w:eastAsia="Aptos"/>
          <w:kern w:val="2"/>
          <w14:ligatures w14:val="standardContextual"/>
        </w:rPr>
        <w:t xml:space="preserve">. </w:t>
      </w:r>
      <w:r w:rsidRPr="00B8130A" w:rsidR="004A7B58">
        <w:rPr>
          <w:rFonts w:eastAsia="Aptos"/>
          <w:kern w:val="2"/>
          <w14:ligatures w14:val="standardContextual"/>
        </w:rPr>
        <w:t>It is essential to ensure that people living in less developed areas also have health services available and accessible to them, and to strengthen integrated home care services in rural regions to meet the needs of a population with a very high average age</w:t>
      </w:r>
      <w:r w:rsidRPr="005D37EB">
        <w:rPr>
          <w:rFonts w:eastAsia="Aptos"/>
          <w:kern w:val="2"/>
          <w14:ligatures w14:val="standardContextual"/>
        </w:rPr>
        <w:t>;</w:t>
      </w:r>
    </w:p>
    <w:p w:rsidRPr="005D37EB" w:rsidR="003A4098" w:rsidP="000D1382" w:rsidRDefault="003A4098" w14:paraId="479FE748" w14:textId="77777777">
      <w:pPr>
        <w:spacing w:line="281" w:lineRule="auto"/>
        <w:rPr>
          <w:rFonts w:eastAsia="Aptos"/>
        </w:rPr>
      </w:pPr>
    </w:p>
    <w:p w:rsidRPr="005D37EB" w:rsidR="003A4098" w:rsidP="000D1382" w:rsidRDefault="003A4098" w14:paraId="5C7886D4" w14:textId="47DAAD9E">
      <w:pPr>
        <w:pStyle w:val="Heading1"/>
        <w:spacing w:line="281" w:lineRule="auto"/>
        <w:rPr>
          <w:rFonts w:eastAsia="Aptos"/>
          <w:kern w:val="2"/>
          <w14:ligatures w14:val="standardContextual"/>
        </w:rPr>
      </w:pPr>
      <w:r w:rsidRPr="005D37EB">
        <w:rPr>
          <w:rFonts w:eastAsia="Aptos"/>
          <w:kern w:val="2"/>
          <w14:ligatures w14:val="standardContextual"/>
        </w:rPr>
        <w:t xml:space="preserve">stresses the importance of extending </w:t>
      </w:r>
      <w:r w:rsidRPr="005D37EB" w:rsidR="00513367">
        <w:rPr>
          <w:rFonts w:eastAsia="Aptos"/>
          <w:kern w:val="2"/>
          <w14:ligatures w14:val="standardContextual"/>
        </w:rPr>
        <w:t xml:space="preserve">learning opportunities under </w:t>
      </w:r>
      <w:r w:rsidRPr="005D37EB">
        <w:rPr>
          <w:rFonts w:eastAsia="Aptos"/>
          <w:kern w:val="2"/>
          <w14:ligatures w14:val="standardContextual"/>
        </w:rPr>
        <w:t xml:space="preserve">ERASMUS+ </w:t>
      </w:r>
      <w:r w:rsidRPr="005D37EB" w:rsidR="00513367">
        <w:rPr>
          <w:rFonts w:eastAsia="Aptos"/>
          <w:kern w:val="2"/>
          <w14:ligatures w14:val="standardContextual"/>
        </w:rPr>
        <w:t>to cover</w:t>
      </w:r>
      <w:r w:rsidRPr="005D37EB">
        <w:rPr>
          <w:rFonts w:eastAsia="Aptos"/>
          <w:kern w:val="2"/>
          <w14:ligatures w14:val="standardContextual"/>
        </w:rPr>
        <w:t xml:space="preserve"> youth</w:t>
      </w:r>
      <w:r w:rsidRPr="005D37EB" w:rsidR="00513367">
        <w:rPr>
          <w:rFonts w:eastAsia="Aptos"/>
          <w:kern w:val="2"/>
          <w14:ligatures w14:val="standardContextual"/>
        </w:rPr>
        <w:t xml:space="preserve"> from rural and remote areas</w:t>
      </w:r>
      <w:r w:rsidRPr="005D37EB">
        <w:rPr>
          <w:rFonts w:eastAsia="Aptos"/>
          <w:kern w:val="2"/>
          <w14:ligatures w14:val="standardContextual"/>
        </w:rPr>
        <w:t>;</w:t>
      </w:r>
    </w:p>
    <w:p w:rsidRPr="005D37EB" w:rsidR="003A4098" w:rsidP="000D1382" w:rsidRDefault="003A4098" w14:paraId="16D94C68" w14:textId="77777777">
      <w:pPr>
        <w:spacing w:line="281" w:lineRule="auto"/>
        <w:rPr>
          <w:rFonts w:eastAsia="Aptos"/>
        </w:rPr>
      </w:pPr>
    </w:p>
    <w:p w:rsidRPr="005D37EB" w:rsidR="00A324D9" w:rsidP="000D1382" w:rsidRDefault="003A4098" w14:paraId="7ECD11B5" w14:textId="7C06BBC6">
      <w:pPr>
        <w:pStyle w:val="Heading1"/>
        <w:spacing w:line="281" w:lineRule="auto"/>
        <w:rPr>
          <w:rFonts w:eastAsia="Aptos"/>
          <w:kern w:val="2"/>
          <w14:ligatures w14:val="standardContextual"/>
        </w:rPr>
      </w:pPr>
      <w:r w:rsidRPr="005D37EB">
        <w:rPr>
          <w:rFonts w:eastAsia="Aptos"/>
          <w:kern w:val="2"/>
          <w14:ligatures w14:val="standardContextual"/>
        </w:rPr>
        <w:t xml:space="preserve">expresses the importance of introducing more progressive </w:t>
      </w:r>
      <w:r w:rsidRPr="005D37EB" w:rsidR="00A42AA7">
        <w:rPr>
          <w:rFonts w:eastAsia="Aptos"/>
          <w:kern w:val="2"/>
          <w14:ligatures w14:val="standardContextual"/>
        </w:rPr>
        <w:t xml:space="preserve">and adapted </w:t>
      </w:r>
      <w:r w:rsidRPr="005D37EB">
        <w:rPr>
          <w:rFonts w:eastAsia="Aptos"/>
          <w:kern w:val="2"/>
          <w14:ligatures w14:val="standardContextual"/>
        </w:rPr>
        <w:t xml:space="preserve">frameworks to address work-life balance for workers of all generations, </w:t>
      </w:r>
      <w:r w:rsidRPr="005D37EB" w:rsidR="00D00001">
        <w:rPr>
          <w:rFonts w:eastAsia="Aptos"/>
          <w:kern w:val="2"/>
          <w14:ligatures w14:val="standardContextual"/>
        </w:rPr>
        <w:t xml:space="preserve">especially </w:t>
      </w:r>
      <w:r w:rsidRPr="005D37EB">
        <w:rPr>
          <w:rFonts w:eastAsia="Aptos"/>
          <w:kern w:val="2"/>
          <w14:ligatures w14:val="standardContextual"/>
        </w:rPr>
        <w:t>taking into consideration the digital transition</w:t>
      </w:r>
      <w:r w:rsidRPr="005D37EB" w:rsidR="00A42AA7">
        <w:rPr>
          <w:rFonts w:eastAsia="Aptos"/>
          <w:kern w:val="2"/>
          <w14:ligatures w14:val="standardContextual"/>
        </w:rPr>
        <w:t>. Recogni</w:t>
      </w:r>
      <w:r w:rsidRPr="005D37EB" w:rsidR="005403EE">
        <w:rPr>
          <w:rFonts w:eastAsia="Aptos"/>
          <w:kern w:val="2"/>
          <w14:ligatures w14:val="standardContextual"/>
        </w:rPr>
        <w:t>s</w:t>
      </w:r>
      <w:r w:rsidRPr="005D37EB" w:rsidR="00A42AA7">
        <w:rPr>
          <w:rFonts w:eastAsia="Aptos"/>
          <w:kern w:val="2"/>
          <w14:ligatures w14:val="standardContextual"/>
        </w:rPr>
        <w:t xml:space="preserve">es the opportunities presented by remote work, </w:t>
      </w:r>
      <w:r w:rsidRPr="005D37EB" w:rsidR="00513367">
        <w:rPr>
          <w:rFonts w:eastAsia="Aptos"/>
          <w:kern w:val="2"/>
          <w14:ligatures w14:val="standardContextual"/>
        </w:rPr>
        <w:t>not just as a tool to facilitate more equal sharing of unpaid domestic and care work but also as a key strategy to retain young, skilled people and attract other people, fostering repopulation of rural areas,</w:t>
      </w:r>
      <w:r w:rsidRPr="005D37EB" w:rsidR="0086018C">
        <w:rPr>
          <w:rFonts w:eastAsia="Aptos"/>
          <w:kern w:val="2"/>
          <w14:ligatures w14:val="standardContextual"/>
        </w:rPr>
        <w:t xml:space="preserve"> </w:t>
      </w:r>
      <w:r w:rsidRPr="005D37EB" w:rsidR="00A42AA7">
        <w:rPr>
          <w:rFonts w:eastAsia="Aptos"/>
          <w:kern w:val="2"/>
          <w14:ligatures w14:val="standardContextual"/>
        </w:rPr>
        <w:t>as</w:t>
      </w:r>
      <w:r w:rsidRPr="005D37EB">
        <w:rPr>
          <w:rFonts w:eastAsia="Aptos"/>
          <w:kern w:val="2"/>
          <w14:ligatures w14:val="standardContextual"/>
        </w:rPr>
        <w:t xml:space="preserve"> it</w:t>
      </w:r>
      <w:r w:rsidRPr="005D37EB" w:rsidR="00A42AA7">
        <w:rPr>
          <w:rFonts w:eastAsia="Aptos"/>
          <w:kern w:val="2"/>
          <w14:ligatures w14:val="standardContextual"/>
        </w:rPr>
        <w:t xml:space="preserve"> can facilitate a more equal sharing of unpaid domestic and care work, while also acknowledging that not everyone has the option</w:t>
      </w:r>
      <w:r w:rsidRPr="005D37EB">
        <w:rPr>
          <w:rFonts w:eastAsia="Aptos"/>
          <w:kern w:val="2"/>
          <w14:ligatures w14:val="standardContextual"/>
        </w:rPr>
        <w:t xml:space="preserve"> to</w:t>
      </w:r>
      <w:r w:rsidRPr="005D37EB" w:rsidR="00A42AA7">
        <w:t xml:space="preserve"> </w:t>
      </w:r>
      <w:r w:rsidRPr="005D37EB" w:rsidR="00A42AA7">
        <w:rPr>
          <w:rFonts w:eastAsia="Aptos"/>
          <w:kern w:val="2"/>
          <w14:ligatures w14:val="standardContextual"/>
        </w:rPr>
        <w:t xml:space="preserve">work remotely, and the fact that prolonged </w:t>
      </w:r>
      <w:r w:rsidRPr="005D37EB">
        <w:rPr>
          <w:rFonts w:eastAsia="Aptos"/>
          <w:kern w:val="2"/>
          <w14:ligatures w14:val="standardContextual"/>
        </w:rPr>
        <w:t>remote work</w:t>
      </w:r>
      <w:r w:rsidRPr="005D37EB" w:rsidR="00A42AA7">
        <w:t xml:space="preserve"> </w:t>
      </w:r>
      <w:r w:rsidRPr="005D37EB" w:rsidR="00A42AA7">
        <w:rPr>
          <w:rFonts w:eastAsia="Aptos"/>
          <w:kern w:val="2"/>
          <w14:ligatures w14:val="standardContextual"/>
        </w:rPr>
        <w:t xml:space="preserve">can also have disadvantages. Additionally, underlines the key role of connectivity </w:t>
      </w:r>
      <w:r w:rsidRPr="005D37EB" w:rsidR="00513367">
        <w:rPr>
          <w:rFonts w:eastAsia="Aptos"/>
          <w:kern w:val="2"/>
          <w14:ligatures w14:val="standardContextual"/>
        </w:rPr>
        <w:t xml:space="preserve">and boosting of digital </w:t>
      </w:r>
      <w:r w:rsidRPr="005D37EB" w:rsidR="00A42AA7">
        <w:rPr>
          <w:rFonts w:eastAsia="Aptos"/>
          <w:kern w:val="2"/>
          <w14:ligatures w14:val="standardContextual"/>
        </w:rPr>
        <w:t xml:space="preserve">in enhancing the attractiveness of regions and cities for a growing number of </w:t>
      </w:r>
      <w:r w:rsidRPr="005D37EB" w:rsidR="00540C25">
        <w:rPr>
          <w:rFonts w:eastAsia="Aptos"/>
          <w:kern w:val="2"/>
          <w14:ligatures w14:val="standardContextual"/>
        </w:rPr>
        <w:t>‘</w:t>
      </w:r>
      <w:r w:rsidRPr="005D37EB" w:rsidR="00A42AA7">
        <w:rPr>
          <w:rFonts w:eastAsia="Aptos"/>
          <w:kern w:val="2"/>
          <w14:ligatures w14:val="standardContextual"/>
        </w:rPr>
        <w:t>working nomads</w:t>
      </w:r>
      <w:r w:rsidRPr="005D37EB" w:rsidR="00540C25">
        <w:rPr>
          <w:rFonts w:eastAsia="Aptos"/>
          <w:kern w:val="2"/>
          <w14:ligatures w14:val="standardContextual"/>
        </w:rPr>
        <w:t>’</w:t>
      </w:r>
      <w:r w:rsidRPr="005D37EB" w:rsidR="00A42AA7">
        <w:rPr>
          <w:rFonts w:eastAsia="Aptos"/>
          <w:kern w:val="2"/>
          <w14:ligatures w14:val="standardContextual"/>
        </w:rPr>
        <w:t xml:space="preserve"> on full telework</w:t>
      </w:r>
      <w:r w:rsidRPr="005D37EB">
        <w:rPr>
          <w:rFonts w:eastAsia="Aptos"/>
          <w:kern w:val="2"/>
          <w14:ligatures w14:val="standardContextual"/>
        </w:rPr>
        <w:t>;</w:t>
      </w:r>
    </w:p>
    <w:p w:rsidRPr="005D37EB" w:rsidR="003A4098" w:rsidP="000D1382" w:rsidRDefault="003A4098" w14:paraId="3CEE187B" w14:textId="77777777">
      <w:pPr>
        <w:spacing w:line="281" w:lineRule="auto"/>
        <w:rPr>
          <w:rFonts w:eastAsia="Aptos"/>
        </w:rPr>
      </w:pPr>
    </w:p>
    <w:p w:rsidRPr="005D37EB" w:rsidR="003A4098" w:rsidP="000D1382" w:rsidRDefault="003A4098" w14:paraId="152DF2AA" w14:textId="2F711EA1">
      <w:pPr>
        <w:pStyle w:val="Heading1"/>
        <w:spacing w:line="281" w:lineRule="auto"/>
        <w:rPr>
          <w:rFonts w:eastAsia="Aptos"/>
          <w:kern w:val="2"/>
          <w14:ligatures w14:val="standardContextual"/>
        </w:rPr>
      </w:pPr>
      <w:r w:rsidRPr="005D37EB">
        <w:rPr>
          <w:rFonts w:eastAsia="Aptos"/>
          <w:kern w:val="2"/>
          <w14:ligatures w14:val="standardContextual"/>
        </w:rPr>
        <w:t xml:space="preserve">underlines that young people entering the labour market need key competences for lifelong learning as well as specific digital, vocational and personal skills that will support them in managing their diverse future career pathways alongside their personal life, and prepares them for their life in </w:t>
      </w:r>
      <w:r w:rsidRPr="005D37EB" w:rsidR="00D00001">
        <w:rPr>
          <w:rFonts w:eastAsia="Aptos"/>
          <w:kern w:val="2"/>
          <w14:ligatures w14:val="standardContextual"/>
        </w:rPr>
        <w:t>a ‘</w:t>
      </w:r>
      <w:r w:rsidRPr="005D37EB">
        <w:rPr>
          <w:rFonts w:eastAsia="Aptos"/>
          <w:kern w:val="2"/>
          <w14:ligatures w14:val="standardContextual"/>
        </w:rPr>
        <w:t>longevity society</w:t>
      </w:r>
      <w:r w:rsidRPr="005D37EB" w:rsidR="00D00001">
        <w:rPr>
          <w:rFonts w:eastAsia="Aptos"/>
          <w:kern w:val="2"/>
          <w14:ligatures w14:val="standardContextual"/>
        </w:rPr>
        <w:t>’</w:t>
      </w:r>
      <w:r w:rsidRPr="005D37EB" w:rsidR="009555C4">
        <w:rPr>
          <w:rFonts w:eastAsia="Aptos"/>
          <w:kern w:val="2"/>
          <w14:ligatures w14:val="standardContextual"/>
        </w:rPr>
        <w:t>.</w:t>
      </w:r>
      <w:r w:rsidRPr="005D37EB" w:rsidR="009555C4">
        <w:t xml:space="preserve"> </w:t>
      </w:r>
      <w:r w:rsidRPr="005D37EB" w:rsidR="009555C4">
        <w:rPr>
          <w:rFonts w:eastAsia="Aptos"/>
          <w:kern w:val="2"/>
          <w14:ligatures w14:val="standardContextual"/>
        </w:rPr>
        <w:t>It is important to stress that the type of education that young people receive and the educational/teaching approach that they experience have a direct link to whether young people succeed in the labour market. School should therefore be increasingly linked to the world of work and supported by European, national and regional investment policies that not only make it easier for young people to enter the labour market but also build up their social skills to help them both in their professional lives and in their personal lives, with a view to positively integrating into today’s society</w:t>
      </w:r>
      <w:r w:rsidRPr="005D37EB">
        <w:rPr>
          <w:rFonts w:eastAsia="Aptos"/>
          <w:kern w:val="2"/>
          <w14:ligatures w14:val="standardContextual"/>
        </w:rPr>
        <w:t>;</w:t>
      </w:r>
    </w:p>
    <w:p w:rsidRPr="005D37EB" w:rsidR="009555C4" w:rsidP="009555C4" w:rsidRDefault="009555C4" w14:paraId="21B0D311" w14:textId="179DFF15">
      <w:pPr>
        <w:rPr>
          <w:rFonts w:eastAsia="Aptos"/>
        </w:rPr>
      </w:pPr>
    </w:p>
    <w:p w:rsidRPr="003B54C5" w:rsidR="009555C4" w:rsidP="009555C4" w:rsidRDefault="009555C4" w14:paraId="234F7C2F" w14:textId="0A6F9645">
      <w:pPr>
        <w:pStyle w:val="Heading1"/>
        <w:spacing w:line="281" w:lineRule="auto"/>
        <w:rPr>
          <w:rFonts w:eastAsia="Aptos"/>
          <w:kern w:val="2"/>
          <w14:ligatures w14:val="standardContextual"/>
        </w:rPr>
      </w:pPr>
      <w:r w:rsidRPr="00A4317B">
        <w:rPr>
          <w:rFonts w:eastAsia="Aptos"/>
          <w:kern w:val="2"/>
          <w14:ligatures w14:val="standardContextual"/>
        </w:rPr>
        <w:t>points to the importance of enhancing joint responsibility of women and men in order to improve the equal distribution between men and women of responsibilities, opportunities and rights associated with caring and addressing the needs linked to life within the family unit;</w:t>
      </w:r>
    </w:p>
    <w:p w:rsidRPr="005D37EB" w:rsidR="003A4098" w:rsidP="000D1382" w:rsidRDefault="003A4098" w14:paraId="1EC31E47" w14:textId="77777777">
      <w:pPr>
        <w:spacing w:line="281" w:lineRule="auto"/>
        <w:rPr>
          <w:rFonts w:eastAsia="Aptos"/>
        </w:rPr>
      </w:pPr>
    </w:p>
    <w:p w:rsidRPr="00B8130A" w:rsidR="003A4098" w:rsidP="000D1382" w:rsidRDefault="003A4098" w14:paraId="3E6D5E50" w14:textId="540ECE1C">
      <w:pPr>
        <w:pStyle w:val="Heading1"/>
        <w:spacing w:line="281" w:lineRule="auto"/>
        <w:rPr>
          <w:rFonts w:eastAsia="Aptos"/>
          <w:kern w:val="2"/>
          <w14:ligatures w14:val="standardContextual"/>
        </w:rPr>
      </w:pPr>
      <w:r w:rsidRPr="005D37EB">
        <w:rPr>
          <w:rFonts w:eastAsia="Aptos"/>
          <w:kern w:val="2"/>
          <w14:ligatures w14:val="standardContextual"/>
        </w:rPr>
        <w:t>emphasi</w:t>
      </w:r>
      <w:r w:rsidRPr="005D37EB" w:rsidR="006B2199">
        <w:rPr>
          <w:rFonts w:eastAsia="Aptos"/>
          <w:kern w:val="2"/>
          <w14:ligatures w14:val="standardContextual"/>
        </w:rPr>
        <w:t>s</w:t>
      </w:r>
      <w:r w:rsidRPr="005D37EB">
        <w:rPr>
          <w:rFonts w:eastAsia="Aptos"/>
          <w:kern w:val="2"/>
          <w14:ligatures w14:val="standardContextual"/>
        </w:rPr>
        <w:t>es that the Demography Toolbox introduces key elements explaining the gap between actual and desired family size</w:t>
      </w:r>
      <w:r w:rsidRPr="003B54C5">
        <w:rPr>
          <w:rFonts w:eastAsia="Aptos"/>
          <w:kern w:val="2"/>
          <w:sz w:val="24"/>
          <w:szCs w:val="24"/>
          <w:vertAlign w:val="superscript"/>
          <w14:ligatures w14:val="standardContextual"/>
        </w:rPr>
        <w:footnoteReference w:id="20"/>
      </w:r>
      <w:r w:rsidRPr="003B54C5">
        <w:rPr>
          <w:rFonts w:eastAsia="Aptos"/>
          <w:kern w:val="2"/>
          <w14:ligatures w14:val="standardContextual"/>
        </w:rPr>
        <w:t>;</w:t>
      </w:r>
    </w:p>
    <w:p w:rsidRPr="005D37EB" w:rsidR="003A4098" w:rsidP="000D1382" w:rsidRDefault="003A4098" w14:paraId="04C7F8B6" w14:textId="77777777">
      <w:pPr>
        <w:spacing w:line="281" w:lineRule="auto"/>
        <w:rPr>
          <w:rFonts w:eastAsia="Aptos"/>
        </w:rPr>
      </w:pPr>
    </w:p>
    <w:p w:rsidRPr="005D37EB" w:rsidR="003A4098" w:rsidP="000D1382" w:rsidRDefault="003A4098" w14:paraId="069D02D6" w14:textId="2B435FCA">
      <w:pPr>
        <w:pStyle w:val="Heading1"/>
        <w:spacing w:line="281" w:lineRule="auto"/>
        <w:rPr>
          <w:rFonts w:eastAsia="Aptos"/>
          <w:kern w:val="2"/>
          <w14:ligatures w14:val="standardContextual"/>
        </w:rPr>
      </w:pPr>
      <w:r w:rsidRPr="005D37EB">
        <w:rPr>
          <w:rFonts w:eastAsia="Aptos"/>
          <w:kern w:val="2"/>
          <w14:ligatures w14:val="standardContextual"/>
        </w:rPr>
        <w:t>notes that demographic change</w:t>
      </w:r>
      <w:r w:rsidRPr="005D37EB" w:rsidR="005F61B9">
        <w:t xml:space="preserve"> </w:t>
      </w:r>
      <w:r w:rsidRPr="005D37EB" w:rsidR="005F61B9">
        <w:rPr>
          <w:rFonts w:eastAsia="Aptos"/>
          <w:kern w:val="2"/>
          <w14:ligatures w14:val="standardContextual"/>
        </w:rPr>
        <w:t>and the choice of having children</w:t>
      </w:r>
      <w:r w:rsidRPr="005D37EB">
        <w:rPr>
          <w:rFonts w:eastAsia="Aptos"/>
          <w:kern w:val="2"/>
          <w14:ligatures w14:val="standardContextual"/>
        </w:rPr>
        <w:t xml:space="preserve"> is primarily determined by personal life choices that individual</w:t>
      </w:r>
      <w:r w:rsidRPr="005D37EB" w:rsidR="005F61B9">
        <w:rPr>
          <w:rFonts w:eastAsia="Aptos"/>
          <w:kern w:val="2"/>
          <w14:ligatures w14:val="standardContextual"/>
        </w:rPr>
        <w:t xml:space="preserve"> women, men</w:t>
      </w:r>
      <w:r w:rsidRPr="005D37EB">
        <w:rPr>
          <w:rFonts w:eastAsia="Aptos"/>
          <w:kern w:val="2"/>
          <w14:ligatures w14:val="standardContextual"/>
        </w:rPr>
        <w:t xml:space="preserve"> and families make</w:t>
      </w:r>
      <w:r w:rsidRPr="005D37EB" w:rsidR="00540C25">
        <w:rPr>
          <w:rFonts w:eastAsia="Aptos"/>
          <w:kern w:val="2"/>
          <w14:ligatures w14:val="standardContextual"/>
        </w:rPr>
        <w:t>;</w:t>
      </w:r>
      <w:r w:rsidRPr="005D37EB">
        <w:rPr>
          <w:rFonts w:eastAsia="Aptos"/>
          <w:kern w:val="2"/>
          <w14:ligatures w14:val="standardContextual"/>
        </w:rPr>
        <w:t xml:space="preserve"> however, public policy </w:t>
      </w:r>
      <w:r w:rsidRPr="005D37EB" w:rsidR="005F61B9">
        <w:rPr>
          <w:rFonts w:eastAsia="Aptos"/>
          <w:kern w:val="2"/>
          <w14:ligatures w14:val="standardContextual"/>
        </w:rPr>
        <w:t>also has</w:t>
      </w:r>
      <w:r w:rsidRPr="005D37EB">
        <w:rPr>
          <w:rFonts w:eastAsia="Aptos"/>
          <w:kern w:val="2"/>
          <w14:ligatures w14:val="standardContextual"/>
        </w:rPr>
        <w:t xml:space="preserve"> a </w:t>
      </w:r>
      <w:r w:rsidRPr="005D37EB" w:rsidR="005F61B9">
        <w:rPr>
          <w:rFonts w:eastAsia="Aptos"/>
          <w:kern w:val="2"/>
          <w14:ligatures w14:val="standardContextual"/>
        </w:rPr>
        <w:t xml:space="preserve">crucial </w:t>
      </w:r>
      <w:r w:rsidRPr="005D37EB">
        <w:rPr>
          <w:rFonts w:eastAsia="Aptos"/>
          <w:kern w:val="2"/>
          <w14:ligatures w14:val="standardContextual"/>
        </w:rPr>
        <w:t xml:space="preserve">role to play in </w:t>
      </w:r>
      <w:r w:rsidRPr="005D37EB" w:rsidR="005F61B9">
        <w:rPr>
          <w:rFonts w:eastAsia="Aptos"/>
          <w:kern w:val="2"/>
          <w14:ligatures w14:val="standardContextual"/>
        </w:rPr>
        <w:t xml:space="preserve">eliminating obstacles and fostering </w:t>
      </w:r>
      <w:r w:rsidRPr="005D37EB">
        <w:rPr>
          <w:rFonts w:eastAsia="Aptos"/>
          <w:kern w:val="2"/>
          <w14:ligatures w14:val="standardContextual"/>
        </w:rPr>
        <w:t xml:space="preserve">an environment which allows </w:t>
      </w:r>
      <w:r w:rsidRPr="005D37EB" w:rsidR="00F65921">
        <w:rPr>
          <w:rFonts w:eastAsia="Aptos"/>
          <w:kern w:val="2"/>
          <w14:ligatures w14:val="standardContextual"/>
        </w:rPr>
        <w:t>women and men</w:t>
      </w:r>
      <w:r w:rsidRPr="005D37EB">
        <w:rPr>
          <w:rFonts w:eastAsia="Aptos"/>
          <w:kern w:val="2"/>
          <w14:ligatures w14:val="standardContextual"/>
        </w:rPr>
        <w:t xml:space="preserve"> </w:t>
      </w:r>
      <w:r w:rsidRPr="005D37EB" w:rsidR="005F61B9">
        <w:rPr>
          <w:rFonts w:eastAsia="Aptos"/>
          <w:kern w:val="2"/>
          <w14:ligatures w14:val="standardContextual"/>
        </w:rPr>
        <w:t xml:space="preserve">in society </w:t>
      </w:r>
      <w:r w:rsidRPr="005D37EB">
        <w:rPr>
          <w:rFonts w:eastAsia="Aptos"/>
          <w:kern w:val="2"/>
          <w14:ligatures w14:val="standardContextual"/>
        </w:rPr>
        <w:t xml:space="preserve">to fulfil their personal aspirations, including job security, </w:t>
      </w:r>
      <w:r w:rsidRPr="005D37EB" w:rsidR="009200F2">
        <w:rPr>
          <w:rFonts w:eastAsia="Aptos"/>
          <w:kern w:val="2"/>
          <w14:ligatures w14:val="standardContextual"/>
        </w:rPr>
        <w:t xml:space="preserve">equal working conditions, </w:t>
      </w:r>
      <w:r w:rsidRPr="005D37EB">
        <w:rPr>
          <w:rFonts w:eastAsia="Aptos"/>
          <w:kern w:val="2"/>
          <w14:ligatures w14:val="standardContextual"/>
        </w:rPr>
        <w:t>quality</w:t>
      </w:r>
      <w:r w:rsidRPr="005D37EB" w:rsidR="00161551">
        <w:rPr>
          <w:rFonts w:eastAsia="Aptos"/>
          <w:kern w:val="2"/>
          <w14:ligatures w14:val="standardContextual"/>
        </w:rPr>
        <w:t xml:space="preserve"> of life</w:t>
      </w:r>
      <w:r w:rsidRPr="005D37EB" w:rsidR="005F61B9">
        <w:rPr>
          <w:rFonts w:eastAsia="Aptos"/>
          <w:kern w:val="2"/>
          <w14:ligatures w14:val="standardContextual"/>
        </w:rPr>
        <w:t>,</w:t>
      </w:r>
      <w:r w:rsidRPr="005D37EB">
        <w:rPr>
          <w:rFonts w:eastAsia="Aptos"/>
          <w:kern w:val="2"/>
          <w14:ligatures w14:val="standardContextual"/>
        </w:rPr>
        <w:t xml:space="preserve"> and access to a wide range of services </w:t>
      </w:r>
      <w:r w:rsidRPr="005D37EB" w:rsidR="005F61B9">
        <w:rPr>
          <w:rFonts w:eastAsia="Aptos"/>
          <w:kern w:val="2"/>
          <w14:ligatures w14:val="standardContextual"/>
        </w:rPr>
        <w:t>such as childcare and care for the elderly</w:t>
      </w:r>
      <w:r w:rsidRPr="005D37EB" w:rsidR="00F65921">
        <w:rPr>
          <w:rFonts w:eastAsia="Aptos"/>
          <w:kern w:val="2"/>
          <w14:ligatures w14:val="standardContextual"/>
        </w:rPr>
        <w:t xml:space="preserve"> and affordable housing</w:t>
      </w:r>
      <w:r w:rsidRPr="005D37EB" w:rsidR="005F61B9">
        <w:rPr>
          <w:rFonts w:eastAsia="Aptos"/>
          <w:kern w:val="2"/>
          <w14:ligatures w14:val="standardContextual"/>
        </w:rPr>
        <w:t>. These factors</w:t>
      </w:r>
      <w:r w:rsidRPr="005D37EB">
        <w:rPr>
          <w:rFonts w:eastAsia="Aptos"/>
          <w:kern w:val="2"/>
          <w14:ligatures w14:val="standardContextual"/>
        </w:rPr>
        <w:t xml:space="preserve"> are key in</w:t>
      </w:r>
      <w:r w:rsidRPr="005D37EB" w:rsidR="005F61B9">
        <w:t xml:space="preserve"> </w:t>
      </w:r>
      <w:r w:rsidRPr="005D37EB" w:rsidR="005F61B9">
        <w:rPr>
          <w:rFonts w:eastAsia="Aptos"/>
          <w:kern w:val="2"/>
          <w14:ligatures w14:val="standardContextual"/>
        </w:rPr>
        <w:t>ensuring that everyone can reap</w:t>
      </w:r>
      <w:r w:rsidRPr="005D37EB">
        <w:rPr>
          <w:rFonts w:eastAsia="Aptos"/>
          <w:kern w:val="2"/>
          <w14:ligatures w14:val="standardContextual"/>
        </w:rPr>
        <w:t xml:space="preserve"> the opportunities offered by market integration;</w:t>
      </w:r>
    </w:p>
    <w:p w:rsidRPr="005D37EB" w:rsidR="003A4098" w:rsidP="000D1382" w:rsidRDefault="003A4098" w14:paraId="50827F5E" w14:textId="79BB32BC">
      <w:pPr>
        <w:spacing w:line="281" w:lineRule="auto"/>
        <w:rPr>
          <w:rFonts w:eastAsia="Aptos"/>
        </w:rPr>
      </w:pPr>
    </w:p>
    <w:p w:rsidRPr="00B8130A" w:rsidR="003A4098" w:rsidP="000D1382" w:rsidRDefault="003A4098" w14:paraId="395D18C2" w14:textId="197F07DC">
      <w:pPr>
        <w:pStyle w:val="Heading1"/>
        <w:spacing w:line="281" w:lineRule="auto"/>
        <w:rPr>
          <w:rFonts w:eastAsia="Aptos"/>
          <w:kern w:val="2"/>
          <w14:ligatures w14:val="standardContextual"/>
        </w:rPr>
      </w:pPr>
      <w:r w:rsidRPr="005D37EB">
        <w:rPr>
          <w:rFonts w:eastAsia="Aptos"/>
          <w:kern w:val="2"/>
          <w14:ligatures w14:val="standardContextual"/>
        </w:rPr>
        <w:t>underlines the high priority for improving access to quality and inclusive</w:t>
      </w:r>
      <w:r w:rsidRPr="005D37EB" w:rsidR="00502860">
        <w:rPr>
          <w:rFonts w:eastAsia="Aptos"/>
          <w:kern w:val="2"/>
          <w14:ligatures w14:val="standardContextual"/>
        </w:rPr>
        <w:t xml:space="preserve"> </w:t>
      </w:r>
      <w:r w:rsidRPr="005D37EB">
        <w:rPr>
          <w:rFonts w:eastAsia="Aptos"/>
          <w:kern w:val="2"/>
          <w14:ligatures w14:val="standardContextual"/>
        </w:rPr>
        <w:t>care</w:t>
      </w:r>
      <w:r w:rsidRPr="005D37EB" w:rsidR="00A3772E">
        <w:rPr>
          <w:rFonts w:eastAsia="Aptos"/>
          <w:kern w:val="2"/>
          <w14:ligatures w14:val="standardContextual"/>
        </w:rPr>
        <w:t xml:space="preserve">, </w:t>
      </w:r>
      <w:r w:rsidRPr="005D37EB" w:rsidR="00F65921">
        <w:rPr>
          <w:rFonts w:eastAsia="Aptos"/>
          <w:kern w:val="2"/>
          <w14:ligatures w14:val="standardContextual"/>
        </w:rPr>
        <w:t xml:space="preserve">at all levels of the education system, with particular focus on </w:t>
      </w:r>
      <w:r w:rsidRPr="005D37EB" w:rsidR="00502860">
        <w:rPr>
          <w:rFonts w:eastAsia="Aptos"/>
          <w:kern w:val="2"/>
          <w14:ligatures w14:val="standardContextual"/>
        </w:rPr>
        <w:t>early childhood</w:t>
      </w:r>
      <w:r w:rsidRPr="005D37EB" w:rsidR="00502860">
        <w:t xml:space="preserve"> </w:t>
      </w:r>
      <w:r w:rsidRPr="005D37EB" w:rsidR="00502860">
        <w:rPr>
          <w:rFonts w:eastAsia="Aptos"/>
          <w:kern w:val="2"/>
          <w14:ligatures w14:val="standardContextual"/>
        </w:rPr>
        <w:t xml:space="preserve">in collaboration with private initiatives, </w:t>
      </w:r>
      <w:r w:rsidRPr="005D37EB" w:rsidR="00A3772E">
        <w:rPr>
          <w:rFonts w:eastAsia="Aptos"/>
          <w:kern w:val="2"/>
          <w14:ligatures w14:val="standardContextual"/>
        </w:rPr>
        <w:t>including during unsocial working hours,</w:t>
      </w:r>
      <w:r w:rsidRPr="005D37EB">
        <w:rPr>
          <w:rFonts w:eastAsia="Aptos"/>
          <w:kern w:val="2"/>
          <w14:ligatures w14:val="standardContextual"/>
        </w:rPr>
        <w:t xml:space="preserve"> </w:t>
      </w:r>
      <w:r w:rsidRPr="005D37EB" w:rsidR="00172A54">
        <w:rPr>
          <w:rFonts w:eastAsia="Aptos"/>
          <w:kern w:val="2"/>
          <w14:ligatures w14:val="standardContextual"/>
        </w:rPr>
        <w:t xml:space="preserve">which are evenly spread across the region, </w:t>
      </w:r>
      <w:r w:rsidRPr="005D37EB">
        <w:rPr>
          <w:rFonts w:eastAsia="Aptos"/>
          <w:kern w:val="2"/>
          <w14:ligatures w14:val="standardContextual"/>
        </w:rPr>
        <w:t>as well as to make better use of European funds</w:t>
      </w:r>
      <w:r w:rsidRPr="005D37EB" w:rsidR="00502860">
        <w:rPr>
          <w:rFonts w:eastAsia="Aptos"/>
          <w:kern w:val="2"/>
          <w14:ligatures w14:val="standardContextual"/>
        </w:rPr>
        <w:t xml:space="preserve"> to provide quality</w:t>
      </w:r>
      <w:r w:rsidRPr="005D37EB">
        <w:rPr>
          <w:rFonts w:eastAsia="Aptos"/>
          <w:kern w:val="2"/>
          <w14:ligatures w14:val="standardContextual"/>
        </w:rPr>
        <w:t xml:space="preserve"> services</w:t>
      </w:r>
      <w:r w:rsidRPr="005D37EB" w:rsidR="00502860">
        <w:t xml:space="preserve"> </w:t>
      </w:r>
      <w:r w:rsidRPr="005D37EB" w:rsidR="00502860">
        <w:rPr>
          <w:rFonts w:eastAsia="Aptos"/>
          <w:kern w:val="2"/>
          <w14:ligatures w14:val="standardContextual"/>
        </w:rPr>
        <w:t>in the field of education and health and formal care</w:t>
      </w:r>
      <w:r w:rsidRPr="005D37EB">
        <w:rPr>
          <w:rFonts w:eastAsia="Aptos"/>
          <w:kern w:val="2"/>
          <w14:ligatures w14:val="standardContextual"/>
        </w:rPr>
        <w:t xml:space="preserve"> (childcare, out-of-school care and long-term care) in accordance with the Council</w:t>
      </w:r>
      <w:r w:rsidRPr="005D37EB" w:rsidR="006B2199">
        <w:rPr>
          <w:rFonts w:eastAsia="Aptos"/>
          <w:kern w:val="2"/>
          <w14:ligatures w14:val="standardContextual"/>
        </w:rPr>
        <w:t>’</w:t>
      </w:r>
      <w:r w:rsidRPr="005D37EB">
        <w:rPr>
          <w:rFonts w:eastAsia="Aptos"/>
          <w:kern w:val="2"/>
          <w14:ligatures w14:val="standardContextual"/>
        </w:rPr>
        <w:t>s recommendation</w:t>
      </w:r>
      <w:r w:rsidRPr="003B54C5">
        <w:rPr>
          <w:rFonts w:eastAsia="Aptos"/>
          <w:kern w:val="2"/>
          <w:sz w:val="24"/>
          <w:szCs w:val="24"/>
          <w:vertAlign w:val="superscript"/>
          <w14:ligatures w14:val="standardContextual"/>
        </w:rPr>
        <w:footnoteReference w:id="21"/>
      </w:r>
      <w:r w:rsidRPr="003B54C5">
        <w:rPr>
          <w:rFonts w:eastAsia="Aptos"/>
          <w:kern w:val="2"/>
          <w14:ligatures w14:val="standardContextual"/>
        </w:rPr>
        <w:t>;</w:t>
      </w:r>
    </w:p>
    <w:p w:rsidRPr="005D37EB" w:rsidR="003A4098" w:rsidP="000D1382" w:rsidRDefault="003A4098" w14:paraId="438B9BA0" w14:textId="77777777">
      <w:pPr>
        <w:spacing w:line="281" w:lineRule="auto"/>
        <w:rPr>
          <w:rFonts w:eastAsia="Aptos"/>
        </w:rPr>
      </w:pPr>
    </w:p>
    <w:p w:rsidRPr="005D37EB" w:rsidR="003A4098" w:rsidP="000D1382" w:rsidRDefault="003A4098" w14:paraId="5DDE1819" w14:textId="395D30EE">
      <w:pPr>
        <w:pStyle w:val="Heading1"/>
        <w:spacing w:line="281" w:lineRule="auto"/>
        <w:rPr>
          <w:rFonts w:eastAsia="Aptos"/>
          <w:kern w:val="2"/>
          <w14:ligatures w14:val="standardContextual"/>
        </w:rPr>
      </w:pPr>
      <w:r w:rsidRPr="005D37EB">
        <w:rPr>
          <w:rFonts w:eastAsia="Aptos"/>
          <w:kern w:val="2"/>
          <w14:ligatures w14:val="standardContextual"/>
        </w:rPr>
        <w:t xml:space="preserve">stresses that regional development </w:t>
      </w:r>
      <w:r w:rsidRPr="005D37EB" w:rsidR="00A3772E">
        <w:rPr>
          <w:rFonts w:eastAsia="Aptos"/>
          <w:kern w:val="2"/>
          <w14:ligatures w14:val="standardContextual"/>
        </w:rPr>
        <w:t xml:space="preserve">should </w:t>
      </w:r>
      <w:r w:rsidRPr="005D37EB">
        <w:rPr>
          <w:rFonts w:eastAsia="Aptos"/>
          <w:kern w:val="2"/>
          <w14:ligatures w14:val="standardContextual"/>
        </w:rPr>
        <w:t xml:space="preserve">ensure </w:t>
      </w:r>
      <w:r w:rsidRPr="005D37EB" w:rsidR="00161551">
        <w:rPr>
          <w:rFonts w:eastAsia="Aptos"/>
          <w:kern w:val="2"/>
          <w14:ligatures w14:val="standardContextual"/>
        </w:rPr>
        <w:t xml:space="preserve">that </w:t>
      </w:r>
      <w:r w:rsidRPr="005D37EB">
        <w:rPr>
          <w:rFonts w:eastAsia="Aptos"/>
          <w:kern w:val="2"/>
          <w14:ligatures w14:val="standardContextual"/>
        </w:rPr>
        <w:t>families and prospective parents feel that they are raising children in a healthy and safe environment</w:t>
      </w:r>
      <w:r w:rsidRPr="005D37EB" w:rsidR="00F362EE">
        <w:rPr>
          <w:rFonts w:eastAsia="Aptos"/>
          <w:kern w:val="2"/>
          <w14:ligatures w14:val="standardContextual"/>
        </w:rPr>
        <w:t>,</w:t>
      </w:r>
      <w:r w:rsidRPr="005D37EB" w:rsidR="00A3772E">
        <w:rPr>
          <w:rFonts w:eastAsia="Aptos"/>
          <w:kern w:val="2"/>
          <w14:ligatures w14:val="standardContextual"/>
        </w:rPr>
        <w:t xml:space="preserve"> where they have good access to </w:t>
      </w:r>
      <w:r w:rsidRPr="005D37EB" w:rsidR="00DA2379">
        <w:rPr>
          <w:rFonts w:eastAsia="Aptos"/>
          <w:kern w:val="2"/>
          <w14:ligatures w14:val="standardContextual"/>
        </w:rPr>
        <w:t xml:space="preserve">affordable, quality </w:t>
      </w:r>
      <w:r w:rsidRPr="005D37EB" w:rsidR="00A3772E">
        <w:rPr>
          <w:rFonts w:eastAsia="Aptos"/>
          <w:kern w:val="2"/>
          <w14:ligatures w14:val="standardContextual"/>
        </w:rPr>
        <w:t>housing</w:t>
      </w:r>
      <w:r w:rsidRPr="005D37EB" w:rsidR="00DA2379">
        <w:rPr>
          <w:rFonts w:eastAsia="Aptos"/>
          <w:kern w:val="2"/>
          <w14:ligatures w14:val="standardContextual"/>
        </w:rPr>
        <w:t xml:space="preserve">, good transport and telecommunications networks, an attractive business environment conducive to the establishment of new businesses and the growth of existing businesses, </w:t>
      </w:r>
      <w:r w:rsidRPr="005D37EB" w:rsidR="00A3772E">
        <w:rPr>
          <w:rFonts w:eastAsia="Aptos"/>
          <w:kern w:val="2"/>
          <w14:ligatures w14:val="standardContextual"/>
        </w:rPr>
        <w:t>and childcare</w:t>
      </w:r>
      <w:r w:rsidRPr="005D37EB" w:rsidR="00F362EE">
        <w:rPr>
          <w:rFonts w:eastAsia="Aptos"/>
          <w:kern w:val="2"/>
          <w14:ligatures w14:val="standardContextual"/>
        </w:rPr>
        <w:t>,</w:t>
      </w:r>
      <w:r w:rsidRPr="005D37EB" w:rsidR="00A3772E">
        <w:rPr>
          <w:rFonts w:eastAsia="Aptos"/>
          <w:kern w:val="2"/>
          <w14:ligatures w14:val="standardContextual"/>
        </w:rPr>
        <w:t xml:space="preserve"> and encourages the promotion of support for childcare and family services aimed at improving the work-life balance and potentially boost</w:t>
      </w:r>
      <w:r w:rsidRPr="005D37EB" w:rsidR="00F362EE">
        <w:rPr>
          <w:rFonts w:eastAsia="Aptos"/>
          <w:kern w:val="2"/>
          <w14:ligatures w14:val="standardContextual"/>
        </w:rPr>
        <w:t>ing</w:t>
      </w:r>
      <w:r w:rsidRPr="005D37EB" w:rsidR="00A3772E">
        <w:rPr>
          <w:rFonts w:eastAsia="Aptos"/>
          <w:kern w:val="2"/>
          <w14:ligatures w14:val="standardContextual"/>
        </w:rPr>
        <w:t xml:space="preserve"> birth rates</w:t>
      </w:r>
      <w:r w:rsidRPr="005D37EB">
        <w:rPr>
          <w:rFonts w:eastAsia="Aptos"/>
          <w:kern w:val="2"/>
          <w14:ligatures w14:val="standardContextual"/>
        </w:rPr>
        <w:t>;</w:t>
      </w:r>
    </w:p>
    <w:p w:rsidRPr="005D37EB" w:rsidR="008F4F37" w:rsidP="000D1382" w:rsidRDefault="008F4F37" w14:paraId="63E1BFB0" w14:textId="7483214F">
      <w:pPr>
        <w:spacing w:line="281" w:lineRule="auto"/>
        <w:rPr>
          <w:rFonts w:eastAsia="Aptos"/>
        </w:rPr>
      </w:pPr>
    </w:p>
    <w:p w:rsidRPr="005D37EB" w:rsidR="00F86547" w:rsidP="000D1382" w:rsidRDefault="003A4098" w14:paraId="7FEEC0FD" w14:textId="3FA374B8">
      <w:pPr>
        <w:keepNext/>
        <w:spacing w:line="281" w:lineRule="auto"/>
        <w:rPr>
          <w:i/>
          <w:iCs/>
        </w:rPr>
      </w:pPr>
      <w:r w:rsidRPr="005D37EB">
        <w:rPr>
          <w:rFonts w:eastAsia="Calibri"/>
          <w:i/>
          <w:iCs/>
          <w:kern w:val="2"/>
          <w14:ligatures w14:val="standardContextual"/>
        </w:rPr>
        <w:t xml:space="preserve">Enhancing demographic support through cohesion </w:t>
      </w:r>
      <w:r w:rsidRPr="005D37EB" w:rsidR="00290C5D">
        <w:rPr>
          <w:rFonts w:eastAsia="Calibri"/>
          <w:i/>
          <w:iCs/>
          <w:kern w:val="2"/>
          <w14:ligatures w14:val="standardContextual"/>
        </w:rPr>
        <w:t>as part of the future competitiveness agenda of the EU</w:t>
      </w:r>
    </w:p>
    <w:p w:rsidRPr="005D37EB" w:rsidR="003A4098" w:rsidP="000D1382" w:rsidRDefault="003A4098" w14:paraId="5DF7FAF2" w14:textId="15B44050">
      <w:pPr>
        <w:spacing w:line="281" w:lineRule="auto"/>
      </w:pPr>
    </w:p>
    <w:p w:rsidRPr="005D37EB" w:rsidR="003A4098" w:rsidP="000D1382" w:rsidRDefault="003A4098" w14:paraId="3A51A6EA" w14:textId="22335809">
      <w:pPr>
        <w:pStyle w:val="Heading1"/>
        <w:spacing w:line="281" w:lineRule="auto"/>
        <w:rPr>
          <w:rFonts w:eastAsia="Aptos"/>
          <w:kern w:val="2"/>
          <w14:ligatures w14:val="standardContextual"/>
        </w:rPr>
      </w:pPr>
      <w:r w:rsidRPr="005D37EB">
        <w:rPr>
          <w:rFonts w:eastAsia="Aptos"/>
          <w:kern w:val="2"/>
          <w14:ligatures w14:val="standardContextual"/>
        </w:rPr>
        <w:t xml:space="preserve">notes that the Council recognised that some regions face </w:t>
      </w:r>
      <w:r w:rsidRPr="005D37EB" w:rsidR="00DA2379">
        <w:rPr>
          <w:rFonts w:eastAsia="Aptos"/>
          <w:kern w:val="2"/>
          <w14:ligatures w14:val="standardContextual"/>
        </w:rPr>
        <w:t>particular difficulties in developing and retaining</w:t>
      </w:r>
      <w:r w:rsidRPr="005D37EB">
        <w:rPr>
          <w:rFonts w:eastAsia="Aptos"/>
          <w:kern w:val="2"/>
          <w14:ligatures w14:val="standardContextual"/>
        </w:rPr>
        <w:t xml:space="preserve"> talen, </w:t>
      </w:r>
      <w:r w:rsidRPr="005D37EB" w:rsidR="002B6970">
        <w:rPr>
          <w:rFonts w:eastAsia="Aptos"/>
          <w:kern w:val="2"/>
          <w14:ligatures w14:val="standardContextual"/>
        </w:rPr>
        <w:t>i.e.</w:t>
      </w:r>
      <w:r w:rsidRPr="005D37EB">
        <w:rPr>
          <w:rFonts w:eastAsia="Aptos"/>
          <w:kern w:val="2"/>
          <w14:ligatures w14:val="standardContextual"/>
        </w:rPr>
        <w:t xml:space="preserve"> a combined challenge of shrinking workforce and lower levels of</w:t>
      </w:r>
      <w:r w:rsidRPr="005D37EB" w:rsidR="00DA2379">
        <w:rPr>
          <w:rFonts w:eastAsia="Aptos"/>
          <w:kern w:val="2"/>
          <w14:ligatures w14:val="standardContextual"/>
        </w:rPr>
        <w:t xml:space="preserve"> university</w:t>
      </w:r>
      <w:r w:rsidRPr="005D37EB">
        <w:rPr>
          <w:rFonts w:eastAsia="Aptos"/>
          <w:kern w:val="2"/>
          <w14:ligatures w14:val="standardContextual"/>
        </w:rPr>
        <w:t xml:space="preserve"> education</w:t>
      </w:r>
      <w:r w:rsidRPr="005D37EB" w:rsidR="00DA2379">
        <w:t xml:space="preserve"> </w:t>
      </w:r>
      <w:r w:rsidRPr="005D37EB" w:rsidR="00DA2379">
        <w:rPr>
          <w:rFonts w:eastAsia="Aptos"/>
          <w:kern w:val="2"/>
          <w14:ligatures w14:val="standardContextual"/>
        </w:rPr>
        <w:t>or vocational training</w:t>
      </w:r>
      <w:r w:rsidRPr="005D37EB">
        <w:rPr>
          <w:rFonts w:eastAsia="Aptos"/>
          <w:kern w:val="2"/>
          <w14:ligatures w14:val="standardContextual"/>
        </w:rPr>
        <w:t xml:space="preserve">, and declared that cohesion policy must remain a key pillar of the EU and, to this end, must maintain as its sole objective </w:t>
      </w:r>
      <w:r w:rsidRPr="005D37EB" w:rsidR="002B6970">
        <w:rPr>
          <w:rFonts w:eastAsia="Aptos"/>
          <w:kern w:val="2"/>
          <w14:ligatures w14:val="standardContextual"/>
        </w:rPr>
        <w:t xml:space="preserve">the </w:t>
      </w:r>
      <w:r w:rsidRPr="005D37EB">
        <w:rPr>
          <w:rFonts w:eastAsia="Aptos"/>
          <w:kern w:val="2"/>
          <w14:ligatures w14:val="standardContextual"/>
        </w:rPr>
        <w:t xml:space="preserve">promoting </w:t>
      </w:r>
      <w:r w:rsidRPr="005D37EB" w:rsidR="002B6970">
        <w:rPr>
          <w:rFonts w:eastAsia="Aptos"/>
          <w:kern w:val="2"/>
          <w14:ligatures w14:val="standardContextual"/>
        </w:rPr>
        <w:t xml:space="preserve">of </w:t>
      </w:r>
      <w:r w:rsidRPr="005D37EB">
        <w:rPr>
          <w:rFonts w:eastAsia="Aptos"/>
          <w:kern w:val="2"/>
          <w14:ligatures w14:val="standardContextual"/>
        </w:rPr>
        <w:t xml:space="preserve">the </w:t>
      </w:r>
      <w:r w:rsidRPr="005D37EB" w:rsidR="002B6970">
        <w:rPr>
          <w:rFonts w:eastAsia="Aptos"/>
          <w:kern w:val="2"/>
          <w14:ligatures w14:val="standardContextual"/>
        </w:rPr>
        <w:t xml:space="preserve">EU’s </w:t>
      </w:r>
      <w:r w:rsidRPr="005D37EB">
        <w:rPr>
          <w:rFonts w:eastAsia="Aptos"/>
          <w:kern w:val="2"/>
          <w14:ligatures w14:val="standardContextual"/>
        </w:rPr>
        <w:t>overall harmonious development and the strengthening of its economic, social and territorial cohesion, while reducing disparities between the levels of development of the various regions and the backwardness of the least favoured regions;</w:t>
      </w:r>
    </w:p>
    <w:p w:rsidRPr="005D37EB" w:rsidR="00A3772E" w:rsidP="000D1382" w:rsidRDefault="00A3772E" w14:paraId="2EDC2DA8" w14:textId="77777777">
      <w:pPr>
        <w:spacing w:line="281" w:lineRule="auto"/>
        <w:rPr>
          <w:rFonts w:eastAsia="Aptos"/>
        </w:rPr>
      </w:pPr>
    </w:p>
    <w:p w:rsidRPr="005D37EB" w:rsidR="003A4098" w:rsidP="000D1382" w:rsidRDefault="003A4098" w14:paraId="697D29A2" w14:textId="3567B463">
      <w:pPr>
        <w:pStyle w:val="Heading1"/>
        <w:spacing w:line="281" w:lineRule="auto"/>
        <w:rPr>
          <w:rFonts w:eastAsia="Aptos"/>
          <w:kern w:val="2"/>
          <w14:ligatures w14:val="standardContextual"/>
        </w:rPr>
      </w:pPr>
      <w:r w:rsidRPr="005D37EB">
        <w:rPr>
          <w:rFonts w:eastAsia="Aptos"/>
          <w:kern w:val="2"/>
          <w14:ligatures w14:val="standardContextual"/>
        </w:rPr>
        <w:t xml:space="preserve">stresses that demographic transition must </w:t>
      </w:r>
      <w:r w:rsidRPr="005D37EB" w:rsidR="00290C5D">
        <w:rPr>
          <w:rFonts w:eastAsia="Aptos"/>
          <w:kern w:val="2"/>
          <w14:ligatures w14:val="standardContextual"/>
        </w:rPr>
        <w:t>remain high on the EU agenda</w:t>
      </w:r>
      <w:r w:rsidRPr="005D37EB">
        <w:rPr>
          <w:rFonts w:eastAsia="Aptos"/>
          <w:kern w:val="2"/>
          <w14:ligatures w14:val="standardContextual"/>
        </w:rPr>
        <w:t xml:space="preserve">, </w:t>
      </w:r>
      <w:r w:rsidRPr="005D37EB" w:rsidR="008F32BA">
        <w:rPr>
          <w:rFonts w:eastAsia="Aptos"/>
          <w:kern w:val="2"/>
          <w14:ligatures w14:val="standardContextual"/>
        </w:rPr>
        <w:t xml:space="preserve">as </w:t>
      </w:r>
      <w:r w:rsidRPr="005D37EB">
        <w:rPr>
          <w:rFonts w:eastAsia="Aptos"/>
          <w:kern w:val="2"/>
          <w14:ligatures w14:val="standardContextual"/>
        </w:rPr>
        <w:t xml:space="preserve">this framework </w:t>
      </w:r>
      <w:r w:rsidRPr="005D37EB" w:rsidR="008F32BA">
        <w:rPr>
          <w:rFonts w:eastAsia="Aptos"/>
          <w:kern w:val="2"/>
          <w14:ligatures w14:val="standardContextual"/>
        </w:rPr>
        <w:t xml:space="preserve">ensures that </w:t>
      </w:r>
      <w:r w:rsidRPr="005D37EB">
        <w:rPr>
          <w:rFonts w:eastAsia="Aptos"/>
          <w:kern w:val="2"/>
          <w14:ligatures w14:val="standardContextual"/>
        </w:rPr>
        <w:t>EU financial instruments and resources</w:t>
      </w:r>
      <w:r w:rsidRPr="005D37EB" w:rsidR="00A3772E">
        <w:rPr>
          <w:rFonts w:eastAsia="Aptos"/>
          <w:kern w:val="2"/>
          <w14:ligatures w14:val="standardContextual"/>
        </w:rPr>
        <w:t xml:space="preserve"> are</w:t>
      </w:r>
      <w:r w:rsidRPr="005D37EB">
        <w:rPr>
          <w:rFonts w:eastAsia="Aptos"/>
          <w:kern w:val="2"/>
          <w14:ligatures w14:val="standardContextual"/>
        </w:rPr>
        <w:t xml:space="preserve"> properly allocated to appropriate actions and measures</w:t>
      </w:r>
      <w:r w:rsidRPr="005D37EB" w:rsidR="00A3772E">
        <w:rPr>
          <w:rFonts w:eastAsia="Aptos"/>
          <w:kern w:val="2"/>
          <w14:ligatures w14:val="standardContextual"/>
        </w:rPr>
        <w:t xml:space="preserve">. </w:t>
      </w:r>
      <w:r w:rsidRPr="005D37EB" w:rsidR="00DA2379">
        <w:rPr>
          <w:rFonts w:eastAsia="Aptos"/>
          <w:kern w:val="2"/>
          <w14:ligatures w14:val="standardContextual"/>
        </w:rPr>
        <w:t>With this in mind</w:t>
      </w:r>
      <w:r w:rsidRPr="005D37EB" w:rsidR="00A3772E">
        <w:rPr>
          <w:rFonts w:eastAsia="Aptos"/>
          <w:kern w:val="2"/>
          <w14:ligatures w14:val="standardContextual"/>
        </w:rPr>
        <w:t>,</w:t>
      </w:r>
      <w:r w:rsidRPr="005D37EB">
        <w:rPr>
          <w:rFonts w:eastAsia="Aptos"/>
          <w:kern w:val="2"/>
          <w14:ligatures w14:val="standardContextual"/>
        </w:rPr>
        <w:t xml:space="preserve"> underlines the importance of </w:t>
      </w:r>
      <w:r w:rsidRPr="005D37EB" w:rsidR="008F32BA">
        <w:rPr>
          <w:rFonts w:eastAsia="Aptos"/>
          <w:kern w:val="2"/>
          <w14:ligatures w14:val="standardContextual"/>
        </w:rPr>
        <w:t xml:space="preserve">considering </w:t>
      </w:r>
      <w:r w:rsidRPr="005D37EB">
        <w:rPr>
          <w:rFonts w:eastAsia="Aptos"/>
          <w:kern w:val="2"/>
          <w14:ligatures w14:val="standardContextual"/>
        </w:rPr>
        <w:t>demographic indicators</w:t>
      </w:r>
      <w:r w:rsidRPr="005D37EB" w:rsidR="00A3772E">
        <w:rPr>
          <w:rFonts w:eastAsia="Aptos"/>
          <w:kern w:val="2"/>
          <w14:ligatures w14:val="standardContextual"/>
        </w:rPr>
        <w:t xml:space="preserve"> in</w:t>
      </w:r>
      <w:r w:rsidRPr="005D37EB">
        <w:rPr>
          <w:rFonts w:eastAsia="Aptos"/>
          <w:kern w:val="2"/>
          <w14:ligatures w14:val="standardContextual"/>
        </w:rPr>
        <w:t xml:space="preserve"> the next multiannual financial framework;</w:t>
      </w:r>
    </w:p>
    <w:p w:rsidRPr="005D37EB" w:rsidR="003A4098" w:rsidP="000D1382" w:rsidRDefault="003A4098" w14:paraId="01B328C3" w14:textId="77777777">
      <w:pPr>
        <w:spacing w:line="281" w:lineRule="auto"/>
        <w:rPr>
          <w:rFonts w:eastAsia="Aptos"/>
        </w:rPr>
      </w:pPr>
    </w:p>
    <w:p w:rsidRPr="005D37EB" w:rsidR="003A4098" w:rsidP="000D1382" w:rsidRDefault="003A4098" w14:paraId="512F6C73" w14:textId="7EA2F6C5">
      <w:pPr>
        <w:pStyle w:val="Heading1"/>
        <w:spacing w:line="281" w:lineRule="auto"/>
        <w:rPr>
          <w:rFonts w:eastAsia="Aptos"/>
          <w:kern w:val="2"/>
          <w14:ligatures w14:val="standardContextual"/>
        </w:rPr>
      </w:pPr>
      <w:r w:rsidRPr="005D37EB">
        <w:rPr>
          <w:rFonts w:eastAsia="Aptos"/>
          <w:kern w:val="2"/>
          <w14:ligatures w14:val="standardContextual"/>
        </w:rPr>
        <w:t xml:space="preserve">stresses </w:t>
      </w:r>
      <w:r w:rsidRPr="005D37EB" w:rsidR="005F3AEF">
        <w:rPr>
          <w:rFonts w:eastAsia="Aptos"/>
          <w:kern w:val="2"/>
          <w14:ligatures w14:val="standardContextual"/>
        </w:rPr>
        <w:t xml:space="preserve">the importance of </w:t>
      </w:r>
      <w:r w:rsidRPr="005D37EB">
        <w:rPr>
          <w:rFonts w:eastAsia="Aptos"/>
          <w:kern w:val="2"/>
          <w14:ligatures w14:val="standardContextual"/>
        </w:rPr>
        <w:t>the existing EU cohesion funding tools which can help alleviate the negative effects of demographic change</w:t>
      </w:r>
      <w:r w:rsidRPr="005D37EB" w:rsidR="0057048B">
        <w:rPr>
          <w:rFonts w:eastAsia="Aptos"/>
          <w:kern w:val="2"/>
          <w14:ligatures w14:val="standardContextual"/>
        </w:rPr>
        <w:t xml:space="preserve">, either as a result of depopulation or overpopulation in regions with strong population pressure, </w:t>
      </w:r>
      <w:r w:rsidRPr="005D37EB">
        <w:rPr>
          <w:rFonts w:eastAsia="Aptos"/>
          <w:kern w:val="2"/>
          <w14:ligatures w14:val="standardContextual"/>
        </w:rPr>
        <w:t xml:space="preserve"> </w:t>
      </w:r>
      <w:r w:rsidRPr="005D37EB" w:rsidR="00290C5D">
        <w:rPr>
          <w:rFonts w:eastAsia="Aptos"/>
          <w:kern w:val="2"/>
          <w14:ligatures w14:val="standardContextual"/>
        </w:rPr>
        <w:t>and welcomes the focus of the Presidency of the Council of the EU on demographic issues and its close link with cohesion policies; refers in this context to the CoR work on how to exploit the full potential of cohesion policy to tackle demographic change</w:t>
      </w:r>
      <w:r w:rsidRPr="005D37EB">
        <w:rPr>
          <w:rFonts w:eastAsia="Aptos"/>
          <w:kern w:val="2"/>
          <w14:ligatures w14:val="standardContextual"/>
        </w:rPr>
        <w:t>;</w:t>
      </w:r>
      <w:r w:rsidRPr="005D37EB" w:rsidR="00884761">
        <w:t xml:space="preserve"> </w:t>
      </w:r>
      <w:r w:rsidRPr="005D37EB" w:rsidR="00884761">
        <w:rPr>
          <w:rFonts w:eastAsia="Aptos"/>
          <w:kern w:val="2"/>
          <w14:ligatures w14:val="standardContextual"/>
        </w:rPr>
        <w:t>underlines that these tools should promote a balanced and enabling approach to demographic issues</w:t>
      </w:r>
      <w:r w:rsidRPr="005D37EB" w:rsidR="0057048B">
        <w:t xml:space="preserve"> </w:t>
      </w:r>
      <w:r w:rsidRPr="005D37EB" w:rsidR="0057048B">
        <w:rPr>
          <w:rFonts w:eastAsia="Aptos"/>
          <w:kern w:val="2"/>
          <w14:ligatures w14:val="standardContextual"/>
        </w:rPr>
        <w:t>at an appropriate territorial level</w:t>
      </w:r>
      <w:r w:rsidRPr="005D37EB" w:rsidR="00884761">
        <w:rPr>
          <w:rFonts w:eastAsia="Aptos"/>
          <w:kern w:val="2"/>
          <w14:ligatures w14:val="standardContextual"/>
        </w:rPr>
        <w:t>;</w:t>
      </w:r>
    </w:p>
    <w:p w:rsidRPr="005D37EB" w:rsidR="003A4098" w:rsidP="000D1382" w:rsidRDefault="003A4098" w14:paraId="236046AE" w14:textId="77777777">
      <w:pPr>
        <w:spacing w:line="281" w:lineRule="auto"/>
        <w:rPr>
          <w:rFonts w:eastAsia="Aptos"/>
        </w:rPr>
      </w:pPr>
    </w:p>
    <w:p w:rsidRPr="005D37EB" w:rsidR="00372723" w:rsidP="000D1382" w:rsidRDefault="00290C5D" w14:paraId="0B125E74" w14:textId="112DDD89">
      <w:pPr>
        <w:pStyle w:val="Heading1"/>
        <w:spacing w:line="281" w:lineRule="auto"/>
        <w:rPr>
          <w:rFonts w:eastAsia="Aptos"/>
          <w:kern w:val="2"/>
          <w14:ligatures w14:val="standardContextual"/>
        </w:rPr>
      </w:pPr>
      <w:r w:rsidRPr="005D37EB">
        <w:rPr>
          <w:rFonts w:eastAsia="Aptos"/>
          <w:kern w:val="2"/>
          <w14:ligatures w14:val="standardContextual"/>
        </w:rPr>
        <w:t xml:space="preserve">highlights the key role of addressing demographic change with regard to the future of cohesion policy and the future competitiveness agenda of the EU and refers to the ongoing </w:t>
      </w:r>
      <w:r w:rsidRPr="005D37EB" w:rsidR="008F32BA">
        <w:rPr>
          <w:rFonts w:eastAsia="Aptos"/>
          <w:kern w:val="2"/>
          <w14:ligatures w14:val="standardContextual"/>
        </w:rPr>
        <w:t>o</w:t>
      </w:r>
      <w:r w:rsidRPr="005D37EB">
        <w:rPr>
          <w:rFonts w:eastAsia="Aptos"/>
          <w:kern w:val="2"/>
          <w14:ligatures w14:val="standardContextual"/>
        </w:rPr>
        <w:t xml:space="preserve">pinion on </w:t>
      </w:r>
      <w:r w:rsidRPr="005D37EB">
        <w:rPr>
          <w:rFonts w:eastAsia="Aptos"/>
          <w:i/>
          <w:iCs/>
          <w:kern w:val="2"/>
          <w14:ligatures w14:val="standardContextual"/>
        </w:rPr>
        <w:t>A renewed Cohesion policy post 2027 that leaves no one behind - CoR responses to the 9th Cohesion Report, the Report of the High-Level group on the future of cohesion policy and the Council conclusions on the future of Cohesion Policy</w:t>
      </w:r>
      <w:r w:rsidRPr="005D37EB">
        <w:rPr>
          <w:rFonts w:eastAsia="Aptos"/>
          <w:kern w:val="2"/>
          <w14:ligatures w14:val="standardContextual"/>
        </w:rPr>
        <w:t xml:space="preserve"> and the CoR </w:t>
      </w:r>
      <w:r w:rsidRPr="005D37EB" w:rsidR="008F32BA">
        <w:rPr>
          <w:rFonts w:eastAsia="Aptos"/>
          <w:kern w:val="2"/>
          <w14:ligatures w14:val="standardContextual"/>
        </w:rPr>
        <w:t>o</w:t>
      </w:r>
      <w:r w:rsidRPr="005D37EB">
        <w:rPr>
          <w:rFonts w:eastAsia="Aptos"/>
          <w:kern w:val="2"/>
          <w14:ligatures w14:val="standardContextual"/>
        </w:rPr>
        <w:t xml:space="preserve">pinion on </w:t>
      </w:r>
      <w:r w:rsidRPr="005D37EB">
        <w:rPr>
          <w:rFonts w:eastAsia="Aptos"/>
          <w:i/>
          <w:iCs/>
          <w:kern w:val="2"/>
          <w14:ligatures w14:val="standardContextual"/>
        </w:rPr>
        <w:t>The future of the single market and the EU</w:t>
      </w:r>
      <w:r w:rsidRPr="005D37EB" w:rsidR="008F32BA">
        <w:rPr>
          <w:rFonts w:eastAsia="Aptos"/>
          <w:i/>
          <w:iCs/>
          <w:kern w:val="2"/>
          <w14:ligatures w14:val="standardContextual"/>
        </w:rPr>
        <w:t>’</w:t>
      </w:r>
      <w:r w:rsidRPr="005D37EB">
        <w:rPr>
          <w:rFonts w:eastAsia="Aptos"/>
          <w:i/>
          <w:iCs/>
          <w:kern w:val="2"/>
          <w14:ligatures w14:val="standardContextual"/>
        </w:rPr>
        <w:t>s competitiveness</w:t>
      </w:r>
      <w:r w:rsidRPr="005D37EB" w:rsidR="003A4098">
        <w:rPr>
          <w:rFonts w:eastAsia="Aptos"/>
          <w:kern w:val="2"/>
          <w14:ligatures w14:val="standardContextual"/>
        </w:rPr>
        <w:t>;</w:t>
      </w:r>
    </w:p>
    <w:p w:rsidRPr="005D37EB" w:rsidR="00372723" w:rsidP="000D1382" w:rsidRDefault="00372723" w14:paraId="52438891" w14:textId="354160C8">
      <w:pPr>
        <w:pStyle w:val="Heading1"/>
        <w:numPr>
          <w:ilvl w:val="0"/>
          <w:numId w:val="0"/>
        </w:numPr>
        <w:spacing w:line="281" w:lineRule="auto"/>
      </w:pPr>
    </w:p>
    <w:p w:rsidRPr="005D37EB" w:rsidR="003A4098" w:rsidP="000D1382" w:rsidRDefault="003A4098" w14:paraId="282A9F77" w14:textId="7CCB71A7">
      <w:pPr>
        <w:keepNext/>
        <w:spacing w:line="281" w:lineRule="auto"/>
        <w:rPr>
          <w:rFonts w:eastAsia="Calibri"/>
          <w:i/>
          <w:iCs/>
          <w:kern w:val="2"/>
          <w14:ligatures w14:val="standardContextual"/>
        </w:rPr>
      </w:pPr>
      <w:r w:rsidRPr="005D37EB">
        <w:rPr>
          <w:rFonts w:eastAsia="Calibri"/>
          <w:i/>
          <w:iCs/>
          <w:kern w:val="2"/>
          <w14:ligatures w14:val="standardContextual"/>
        </w:rPr>
        <w:t>Strengthening strategic measures to address demographic challenges</w:t>
      </w:r>
    </w:p>
    <w:p w:rsidRPr="005D37EB" w:rsidR="003A4098" w:rsidP="000D1382" w:rsidRDefault="003A4098" w14:paraId="23D41658" w14:textId="77777777">
      <w:pPr>
        <w:keepNext/>
        <w:spacing w:line="281" w:lineRule="auto"/>
      </w:pPr>
    </w:p>
    <w:p w:rsidRPr="005D37EB" w:rsidR="003A4098" w:rsidP="000D1382" w:rsidRDefault="003A4098" w14:paraId="79C60D92" w14:textId="21128878">
      <w:pPr>
        <w:keepNext/>
        <w:spacing w:line="281" w:lineRule="auto"/>
        <w:rPr>
          <w:rFonts w:eastAsia="Aptos"/>
          <w:kern w:val="2"/>
          <w14:ligatures w14:val="standardContextual"/>
        </w:rPr>
      </w:pPr>
      <w:r w:rsidRPr="005D37EB">
        <w:rPr>
          <w:rFonts w:eastAsia="Aptos"/>
          <w:kern w:val="2"/>
          <w14:ligatures w14:val="standardContextual"/>
        </w:rPr>
        <w:t>calls on the European institutions:</w:t>
      </w:r>
    </w:p>
    <w:p w:rsidRPr="005D37EB" w:rsidR="003A4098" w:rsidP="000D1382" w:rsidRDefault="003A4098" w14:paraId="3E0395AC" w14:textId="77777777">
      <w:pPr>
        <w:keepNext/>
        <w:spacing w:line="281" w:lineRule="auto"/>
        <w:rPr>
          <w:rFonts w:eastAsia="Aptos"/>
          <w:kern w:val="2"/>
          <w:sz w:val="24"/>
          <w:szCs w:val="24"/>
          <w14:ligatures w14:val="standardContextual"/>
        </w:rPr>
      </w:pPr>
    </w:p>
    <w:p w:rsidRPr="005D37EB" w:rsidR="003A4098" w:rsidP="000D1382" w:rsidRDefault="003A4098" w14:paraId="2A91B63C" w14:textId="56CA4271">
      <w:pPr>
        <w:pStyle w:val="Heading1"/>
        <w:spacing w:line="281" w:lineRule="auto"/>
        <w:rPr>
          <w:rFonts w:eastAsia="Aptos"/>
          <w:kern w:val="2"/>
          <w14:ligatures w14:val="standardContextual"/>
        </w:rPr>
      </w:pPr>
      <w:r w:rsidRPr="005D37EB">
        <w:rPr>
          <w:rFonts w:eastAsia="Aptos"/>
          <w:kern w:val="2"/>
          <w14:ligatures w14:val="standardContextual"/>
        </w:rPr>
        <w:t xml:space="preserve">to consider the establishment of an appropriate structure within the Commission on </w:t>
      </w:r>
      <w:r w:rsidRPr="005D37EB" w:rsidR="00DE53A6">
        <w:rPr>
          <w:rFonts w:eastAsia="Aptos"/>
          <w:kern w:val="2"/>
          <w14:ligatures w14:val="standardContextual"/>
        </w:rPr>
        <w:t>directorate-</w:t>
      </w:r>
      <w:r w:rsidRPr="005D37EB">
        <w:rPr>
          <w:rFonts w:eastAsia="Aptos"/>
          <w:kern w:val="2"/>
          <w14:ligatures w14:val="standardContextual"/>
        </w:rPr>
        <w:t>general and commissioner level</w:t>
      </w:r>
      <w:r w:rsidRPr="005D37EB" w:rsidR="00884761">
        <w:t xml:space="preserve"> </w:t>
      </w:r>
      <w:r w:rsidRPr="005D37EB" w:rsidR="000726AE">
        <w:t>adopting strategies that ensure</w:t>
      </w:r>
      <w:r w:rsidRPr="005D37EB" w:rsidR="00884761">
        <w:rPr>
          <w:rFonts w:eastAsia="Aptos"/>
          <w:kern w:val="2"/>
          <w14:ligatures w14:val="standardContextual"/>
        </w:rPr>
        <w:t xml:space="preserve"> gender </w:t>
      </w:r>
      <w:r w:rsidRPr="005D37EB" w:rsidR="000726AE">
        <w:rPr>
          <w:rFonts w:eastAsia="Aptos"/>
          <w:kern w:val="2"/>
          <w14:ligatures w14:val="standardContextual"/>
        </w:rPr>
        <w:t xml:space="preserve">equality and overall inclusivity </w:t>
      </w:r>
      <w:r w:rsidRPr="005D37EB" w:rsidR="00884761">
        <w:rPr>
          <w:rFonts w:eastAsia="Aptos"/>
          <w:kern w:val="2"/>
          <w14:ligatures w14:val="standardContextual"/>
        </w:rPr>
        <w:t>to achieve its objectives</w:t>
      </w:r>
      <w:r w:rsidRPr="005D37EB">
        <w:rPr>
          <w:rFonts w:eastAsia="Aptos"/>
          <w:kern w:val="2"/>
          <w14:ligatures w14:val="standardContextual"/>
        </w:rPr>
        <w:t>, and to ensure permanent professional-administrative resources dedicated to the demographic challenge and transition, including the strengthening of the internal and inter-institutional coordination structures;</w:t>
      </w:r>
    </w:p>
    <w:p w:rsidRPr="005D37EB" w:rsidR="003A4098" w:rsidP="000D1382" w:rsidRDefault="003A4098" w14:paraId="3308F1F7" w14:textId="77777777">
      <w:pPr>
        <w:spacing w:line="281" w:lineRule="auto"/>
        <w:rPr>
          <w:rFonts w:eastAsia="Aptos"/>
        </w:rPr>
      </w:pPr>
    </w:p>
    <w:p w:rsidRPr="005D37EB" w:rsidR="003A4098" w:rsidP="000D1382" w:rsidRDefault="003A4098" w14:paraId="79376638" w14:textId="19F88B4F">
      <w:pPr>
        <w:pStyle w:val="Heading1"/>
        <w:spacing w:line="281" w:lineRule="auto"/>
        <w:rPr>
          <w:rFonts w:eastAsia="Aptos"/>
          <w:kern w:val="2"/>
          <w14:ligatures w14:val="standardContextual"/>
        </w:rPr>
      </w:pPr>
      <w:r w:rsidRPr="005D37EB">
        <w:rPr>
          <w:rFonts w:eastAsia="Aptos"/>
          <w:kern w:val="2"/>
          <w14:ligatures w14:val="standardContextual"/>
        </w:rPr>
        <w:t xml:space="preserve">to explore and make proposals on how cohesion policy in general could play a more prominent role in addressing demographic challenges; notes that </w:t>
      </w:r>
      <w:r w:rsidRPr="005D37EB" w:rsidR="00DE53A6">
        <w:rPr>
          <w:rFonts w:eastAsia="Aptos"/>
          <w:kern w:val="2"/>
          <w14:ligatures w14:val="standardContextual"/>
        </w:rPr>
        <w:t>c</w:t>
      </w:r>
      <w:r w:rsidRPr="005D37EB">
        <w:rPr>
          <w:rFonts w:eastAsia="Aptos"/>
          <w:kern w:val="2"/>
          <w14:ligatures w14:val="standardContextual"/>
        </w:rPr>
        <w:t>ohesion policy already has a wide range of instruments in this area, however</w:t>
      </w:r>
      <w:r w:rsidRPr="005D37EB" w:rsidR="00DE53A6">
        <w:rPr>
          <w:rFonts w:eastAsia="Aptos"/>
          <w:kern w:val="2"/>
          <w14:ligatures w14:val="standardContextual"/>
        </w:rPr>
        <w:t>,</w:t>
      </w:r>
      <w:r w:rsidRPr="005D37EB">
        <w:rPr>
          <w:rFonts w:eastAsia="Aptos"/>
          <w:kern w:val="2"/>
          <w14:ligatures w14:val="standardContextual"/>
        </w:rPr>
        <w:t xml:space="preserve"> its role in addressing demographic challenges should be further strengthened in the future; proposes to </w:t>
      </w:r>
      <w:r w:rsidRPr="005D37EB" w:rsidR="000726AE">
        <w:rPr>
          <w:rFonts w:eastAsia="Aptos"/>
          <w:kern w:val="2"/>
          <w14:ligatures w14:val="standardContextual"/>
        </w:rPr>
        <w:t>reinforce</w:t>
      </w:r>
      <w:r w:rsidRPr="005D37EB">
        <w:rPr>
          <w:rFonts w:eastAsia="Aptos"/>
          <w:kern w:val="2"/>
          <w14:ligatures w14:val="standardContextual"/>
        </w:rPr>
        <w:t xml:space="preserve"> cohesion implementation </w:t>
      </w:r>
      <w:r w:rsidRPr="005D37EB" w:rsidR="000726AE">
        <w:rPr>
          <w:rFonts w:eastAsia="Aptos"/>
          <w:kern w:val="2"/>
          <w14:ligatures w14:val="standardContextual"/>
        </w:rPr>
        <w:t>at local and regional level in order</w:t>
      </w:r>
      <w:r w:rsidRPr="005D37EB">
        <w:rPr>
          <w:rFonts w:eastAsia="Aptos"/>
          <w:kern w:val="2"/>
          <w14:ligatures w14:val="standardContextual"/>
        </w:rPr>
        <w:t xml:space="preserve"> to better reflect national </w:t>
      </w:r>
      <w:r w:rsidRPr="005D37EB" w:rsidR="000726AE">
        <w:rPr>
          <w:rFonts w:eastAsia="Aptos"/>
          <w:kern w:val="2"/>
          <w14:ligatures w14:val="standardContextual"/>
        </w:rPr>
        <w:t xml:space="preserve">and regional </w:t>
      </w:r>
      <w:r w:rsidRPr="005D37EB">
        <w:rPr>
          <w:rFonts w:eastAsia="Aptos"/>
          <w:kern w:val="2"/>
          <w14:ligatures w14:val="standardContextual"/>
        </w:rPr>
        <w:t>specificities and increase effectiveness;</w:t>
      </w:r>
      <w:r w:rsidRPr="005D37EB" w:rsidR="00884761">
        <w:t xml:space="preserve"> </w:t>
      </w:r>
      <w:r w:rsidRPr="005D37EB" w:rsidR="00884761">
        <w:rPr>
          <w:rFonts w:eastAsia="Aptos"/>
          <w:kern w:val="2"/>
          <w14:ligatures w14:val="standardContextual"/>
        </w:rPr>
        <w:t>underlines that cohesion policy should promote a balanced and enabling approach to demographic issues;</w:t>
      </w:r>
    </w:p>
    <w:p w:rsidRPr="005D37EB" w:rsidR="003A4098" w:rsidP="000D1382" w:rsidRDefault="003A4098" w14:paraId="5D597C36" w14:textId="77777777">
      <w:pPr>
        <w:spacing w:line="281" w:lineRule="auto"/>
        <w:rPr>
          <w:rFonts w:eastAsia="Aptos"/>
        </w:rPr>
      </w:pPr>
    </w:p>
    <w:p w:rsidRPr="005D37EB" w:rsidR="003A4098" w:rsidP="000D1382" w:rsidRDefault="003A4098" w14:paraId="4CFF05D9" w14:textId="2706D3F1">
      <w:pPr>
        <w:pStyle w:val="Heading1"/>
        <w:spacing w:line="281" w:lineRule="auto"/>
        <w:rPr>
          <w:rFonts w:eastAsia="Aptos"/>
          <w:kern w:val="2"/>
          <w14:ligatures w14:val="standardContextual"/>
        </w:rPr>
      </w:pPr>
      <w:r w:rsidRPr="005D37EB">
        <w:rPr>
          <w:rFonts w:eastAsia="Aptos"/>
          <w:kern w:val="2"/>
          <w14:ligatures w14:val="standardContextual"/>
        </w:rPr>
        <w:t>to integrate the demographic dimension horizontally into the planning of both current and future multiannual financial frameworks (MFF) and cohesion policy funding tools, which includes proposing dedicated demographic objectives and earmarked resources within existing cohesion policy funding tools, particularly targeting the European Social Fund (ESF+) and the Cohesion Fund, and developing specific tools to address demographic challenges while allocating resources for these initiatives in the design of the next MFF</w:t>
      </w:r>
      <w:r w:rsidRPr="005D37EB" w:rsidR="00884761">
        <w:rPr>
          <w:rFonts w:eastAsia="Aptos"/>
          <w:kern w:val="2"/>
          <w14:ligatures w14:val="standardContextual"/>
        </w:rPr>
        <w:t>. Underlines that these tools should promote</w:t>
      </w:r>
      <w:r w:rsidRPr="005D37EB" w:rsidR="000726AE">
        <w:t xml:space="preserve"> </w:t>
      </w:r>
      <w:r w:rsidRPr="005D37EB" w:rsidR="000726AE">
        <w:rPr>
          <w:rFonts w:eastAsia="Aptos"/>
          <w:kern w:val="2"/>
          <w14:ligatures w14:val="standardContextual"/>
        </w:rPr>
        <w:t>gender equality and</w:t>
      </w:r>
      <w:r w:rsidRPr="005D37EB" w:rsidR="00884761">
        <w:rPr>
          <w:rFonts w:eastAsia="Aptos"/>
          <w:kern w:val="2"/>
          <w14:ligatures w14:val="standardContextual"/>
        </w:rPr>
        <w:t xml:space="preserve"> a balanced and enabling approach to demographic issues</w:t>
      </w:r>
      <w:r w:rsidRPr="005D37EB">
        <w:rPr>
          <w:rFonts w:eastAsia="Aptos"/>
          <w:kern w:val="2"/>
          <w14:ligatures w14:val="standardContextual"/>
        </w:rPr>
        <w:t>;</w:t>
      </w:r>
    </w:p>
    <w:p w:rsidRPr="005D37EB" w:rsidR="00884761" w:rsidP="000D1382" w:rsidRDefault="00884761" w14:paraId="1C9466CA" w14:textId="0438158C">
      <w:pPr>
        <w:spacing w:line="281" w:lineRule="auto"/>
        <w:rPr>
          <w:rFonts w:eastAsia="Aptos"/>
        </w:rPr>
      </w:pPr>
    </w:p>
    <w:p w:rsidRPr="005D37EB" w:rsidR="00884761" w:rsidP="000D1382" w:rsidRDefault="00884761" w14:paraId="769F5E3E" w14:textId="11F79529">
      <w:pPr>
        <w:pStyle w:val="Heading1"/>
        <w:spacing w:line="281" w:lineRule="auto"/>
        <w:rPr>
          <w:rFonts w:eastAsia="Aptos"/>
          <w:kern w:val="2"/>
          <w14:ligatures w14:val="standardContextual"/>
        </w:rPr>
      </w:pPr>
      <w:r w:rsidRPr="005D37EB">
        <w:rPr>
          <w:rFonts w:eastAsia="Aptos"/>
          <w:kern w:val="2"/>
          <w14:ligatures w14:val="standardContextual"/>
        </w:rPr>
        <w:t>to treat demographic continuity as a European priority, critical to sustaining the EU’s competitiveness</w:t>
      </w:r>
      <w:r w:rsidRPr="005D37EB" w:rsidR="008F32BA">
        <w:rPr>
          <w:rFonts w:eastAsia="Aptos"/>
          <w:kern w:val="2"/>
          <w14:ligatures w14:val="standardContextual"/>
        </w:rPr>
        <w:t>,</w:t>
      </w:r>
      <w:r w:rsidRPr="005D37EB">
        <w:rPr>
          <w:rFonts w:eastAsia="Aptos"/>
          <w:kern w:val="2"/>
          <w14:ligatures w14:val="standardContextual"/>
        </w:rPr>
        <w:t xml:space="preserve"> </w:t>
      </w:r>
      <w:r w:rsidRPr="005D37EB" w:rsidR="000726AE">
        <w:rPr>
          <w:rFonts w:eastAsia="Aptos"/>
          <w:kern w:val="2"/>
          <w14:ligatures w14:val="standardContextual"/>
        </w:rPr>
        <w:t xml:space="preserve">fostering well-being, social cohesion and resilience, </w:t>
      </w:r>
      <w:r w:rsidRPr="005D37EB">
        <w:rPr>
          <w:rFonts w:eastAsia="Aptos"/>
          <w:kern w:val="2"/>
          <w14:ligatures w14:val="standardContextual"/>
        </w:rPr>
        <w:t>and calls for relevant funds to be strategically employed to address demographic challenges accordingly</w:t>
      </w:r>
      <w:r w:rsidRPr="005D37EB" w:rsidR="000726AE">
        <w:t xml:space="preserve"> </w:t>
      </w:r>
      <w:r w:rsidRPr="005D37EB" w:rsidR="000726AE">
        <w:rPr>
          <w:rFonts w:eastAsia="Aptos"/>
          <w:kern w:val="2"/>
          <w14:ligatures w14:val="standardContextual"/>
        </w:rPr>
        <w:t>and to proportionally reflect the seriousness of the situation in each affected territory</w:t>
      </w:r>
      <w:r w:rsidRPr="005D37EB">
        <w:rPr>
          <w:rFonts w:eastAsia="Aptos"/>
          <w:kern w:val="2"/>
          <w14:ligatures w14:val="standardContextual"/>
        </w:rPr>
        <w:t>;</w:t>
      </w:r>
    </w:p>
    <w:p w:rsidRPr="005D37EB" w:rsidR="003A4098" w:rsidP="000D1382" w:rsidRDefault="003A4098" w14:paraId="6E9034B0" w14:textId="77777777">
      <w:pPr>
        <w:spacing w:line="281" w:lineRule="auto"/>
        <w:rPr>
          <w:rFonts w:eastAsia="Aptos"/>
        </w:rPr>
      </w:pPr>
    </w:p>
    <w:p w:rsidRPr="005D37EB" w:rsidR="003A4098" w:rsidP="000D1382" w:rsidRDefault="003A4098" w14:paraId="2D42427E" w14:textId="77777777">
      <w:pPr>
        <w:pStyle w:val="Heading1"/>
        <w:spacing w:line="281" w:lineRule="auto"/>
        <w:rPr>
          <w:rFonts w:eastAsia="Aptos"/>
          <w:kern w:val="2"/>
          <w14:ligatures w14:val="standardContextual"/>
        </w:rPr>
      </w:pPr>
      <w:r w:rsidRPr="005D37EB">
        <w:rPr>
          <w:rFonts w:eastAsia="Aptos"/>
          <w:kern w:val="2"/>
          <w14:ligatures w14:val="standardContextual"/>
        </w:rPr>
        <w:t>to examine the impact of demographic change on SMEs, such as small family businesses, to evaluate in particular how EU funding could support a smooth generational transition in the management of vulnerable SMEs;</w:t>
      </w:r>
    </w:p>
    <w:p w:rsidRPr="005D37EB" w:rsidR="003A4098" w:rsidP="000D1382" w:rsidRDefault="003A4098" w14:paraId="61FDADAB" w14:textId="77777777">
      <w:pPr>
        <w:spacing w:line="281" w:lineRule="auto"/>
        <w:rPr>
          <w:rFonts w:eastAsia="Aptos"/>
        </w:rPr>
      </w:pPr>
    </w:p>
    <w:p w:rsidRPr="005D37EB" w:rsidR="003A4098" w:rsidP="000D1382" w:rsidRDefault="003A4098" w14:paraId="5BFC676A" w14:textId="0ED60DB2">
      <w:pPr>
        <w:pStyle w:val="Heading1"/>
        <w:spacing w:line="281" w:lineRule="auto"/>
        <w:rPr>
          <w:rFonts w:eastAsia="Aptos"/>
          <w:kern w:val="2"/>
          <w14:ligatures w14:val="standardContextual"/>
        </w:rPr>
      </w:pPr>
      <w:r w:rsidRPr="005D37EB">
        <w:rPr>
          <w:rFonts w:eastAsia="Aptos"/>
          <w:kern w:val="2"/>
          <w14:ligatures w14:val="standardContextual"/>
        </w:rPr>
        <w:t xml:space="preserve">to make further specific proposals to address the key challenges in the light of the results of the Internal Market Report 2024, especially to offset the effects of brain drain, to identify effective tools and methods needed to support the implementation of the </w:t>
      </w:r>
      <w:r w:rsidRPr="005D37EB" w:rsidR="001E26B1">
        <w:rPr>
          <w:rFonts w:eastAsia="Aptos"/>
          <w:kern w:val="2"/>
          <w14:ligatures w14:val="standardContextual"/>
        </w:rPr>
        <w:t>‘</w:t>
      </w:r>
      <w:r w:rsidRPr="005D37EB">
        <w:rPr>
          <w:rFonts w:eastAsia="Aptos"/>
          <w:kern w:val="2"/>
          <w14:ligatures w14:val="standardContextual"/>
        </w:rPr>
        <w:t>freedom to stay</w:t>
      </w:r>
      <w:r w:rsidRPr="005D37EB" w:rsidR="001E26B1">
        <w:rPr>
          <w:rFonts w:eastAsia="Aptos"/>
          <w:kern w:val="2"/>
          <w14:ligatures w14:val="standardContextual"/>
        </w:rPr>
        <w:t>’</w:t>
      </w:r>
      <w:r w:rsidRPr="005D37EB" w:rsidR="00884761">
        <w:rPr>
          <w:rFonts w:eastAsia="Aptos"/>
          <w:kern w:val="2"/>
          <w14:ligatures w14:val="standardContextual"/>
        </w:rPr>
        <w:t>, to attract talent to regions and ensure regions can reap the benefits of workers</w:t>
      </w:r>
      <w:r w:rsidRPr="005D37EB" w:rsidR="008F32BA">
        <w:rPr>
          <w:rFonts w:eastAsia="Aptos"/>
          <w:kern w:val="2"/>
          <w14:ligatures w14:val="standardContextual"/>
        </w:rPr>
        <w:t>’</w:t>
      </w:r>
      <w:r w:rsidRPr="005D37EB" w:rsidR="00884761">
        <w:rPr>
          <w:rFonts w:eastAsia="Aptos"/>
          <w:kern w:val="2"/>
          <w14:ligatures w14:val="standardContextual"/>
        </w:rPr>
        <w:t xml:space="preserve"> mobility</w:t>
      </w:r>
      <w:r w:rsidRPr="005D37EB">
        <w:rPr>
          <w:rFonts w:eastAsia="Aptos"/>
          <w:kern w:val="2"/>
          <w14:ligatures w14:val="standardContextual"/>
        </w:rPr>
        <w:t>;</w:t>
      </w:r>
    </w:p>
    <w:p w:rsidRPr="005D37EB" w:rsidR="003A4098" w:rsidP="000D1382" w:rsidRDefault="003A4098" w14:paraId="7D1835BB" w14:textId="77777777">
      <w:pPr>
        <w:spacing w:line="281" w:lineRule="auto"/>
        <w:rPr>
          <w:rFonts w:eastAsia="Aptos"/>
        </w:rPr>
      </w:pPr>
    </w:p>
    <w:p w:rsidRPr="005D37EB" w:rsidR="003A4098" w:rsidP="000D1382" w:rsidRDefault="003A4098" w14:paraId="24D23A2D" w14:textId="77777777">
      <w:pPr>
        <w:pStyle w:val="Heading1"/>
        <w:spacing w:line="281" w:lineRule="auto"/>
        <w:rPr>
          <w:rFonts w:eastAsia="Aptos"/>
          <w:kern w:val="2"/>
          <w14:ligatures w14:val="standardContextual"/>
        </w:rPr>
      </w:pPr>
      <w:r w:rsidRPr="005D37EB">
        <w:rPr>
          <w:rFonts w:eastAsia="Aptos"/>
          <w:kern w:val="2"/>
          <w14:ligatures w14:val="standardContextual"/>
        </w:rPr>
        <w:t>to further develop the concept and area of application of services of general interest in order to better target the demographic challenges;</w:t>
      </w:r>
    </w:p>
    <w:p w:rsidRPr="005D37EB" w:rsidR="003A4098" w:rsidP="000D1382" w:rsidRDefault="003A4098" w14:paraId="300E91E9" w14:textId="77777777">
      <w:pPr>
        <w:spacing w:line="281" w:lineRule="auto"/>
        <w:rPr>
          <w:rFonts w:eastAsia="Aptos"/>
        </w:rPr>
      </w:pPr>
    </w:p>
    <w:p w:rsidRPr="005D37EB" w:rsidR="003A4098" w:rsidP="000D1382" w:rsidRDefault="003A4098" w14:paraId="3A006F03" w14:textId="6C761F8D">
      <w:pPr>
        <w:pStyle w:val="Heading1"/>
        <w:spacing w:line="281" w:lineRule="auto"/>
        <w:rPr>
          <w:rFonts w:eastAsia="Aptos"/>
          <w:kern w:val="2"/>
          <w14:ligatures w14:val="standardContextual"/>
        </w:rPr>
      </w:pPr>
      <w:r w:rsidRPr="005D37EB">
        <w:rPr>
          <w:rFonts w:eastAsia="Aptos"/>
          <w:kern w:val="2"/>
          <w14:ligatures w14:val="standardContextual"/>
        </w:rPr>
        <w:t xml:space="preserve">to craft proposals on how cohesion policy funding tools and resources can be mobilised and made available more effectively to </w:t>
      </w:r>
      <w:r w:rsidRPr="005D37EB" w:rsidR="00884761">
        <w:rPr>
          <w:rFonts w:eastAsia="Aptos"/>
          <w:kern w:val="2"/>
          <w14:ligatures w14:val="standardContextual"/>
        </w:rPr>
        <w:t>support</w:t>
      </w:r>
      <w:r w:rsidRPr="005D37EB">
        <w:rPr>
          <w:rFonts w:eastAsia="Aptos"/>
          <w:kern w:val="2"/>
          <w14:ligatures w14:val="standardContextual"/>
        </w:rPr>
        <w:t xml:space="preserve"> the </w:t>
      </w:r>
      <w:r w:rsidRPr="005D37EB" w:rsidR="00884761">
        <w:rPr>
          <w:rFonts w:eastAsia="Aptos"/>
          <w:kern w:val="2"/>
          <w14:ligatures w14:val="standardContextual"/>
        </w:rPr>
        <w:t>demographic dimension</w:t>
      </w:r>
      <w:r w:rsidRPr="005D37EB">
        <w:rPr>
          <w:rFonts w:eastAsia="Aptos"/>
          <w:kern w:val="2"/>
          <w14:ligatures w14:val="standardContextual"/>
        </w:rPr>
        <w:t>;</w:t>
      </w:r>
    </w:p>
    <w:p w:rsidRPr="005D37EB" w:rsidR="003A4098" w:rsidP="000D1382" w:rsidRDefault="003A4098" w14:paraId="3DAF97FD" w14:textId="77777777">
      <w:pPr>
        <w:spacing w:line="281" w:lineRule="auto"/>
        <w:rPr>
          <w:rFonts w:eastAsia="Aptos"/>
        </w:rPr>
      </w:pPr>
    </w:p>
    <w:p w:rsidRPr="005D37EB" w:rsidR="003A4098" w:rsidP="000D1382" w:rsidRDefault="003A4098" w14:paraId="14668CD8" w14:textId="59DE3F25">
      <w:pPr>
        <w:pStyle w:val="Heading1"/>
        <w:spacing w:line="281" w:lineRule="auto"/>
        <w:rPr>
          <w:rFonts w:eastAsia="Aptos"/>
          <w:kern w:val="2"/>
          <w14:ligatures w14:val="standardContextual"/>
        </w:rPr>
      </w:pPr>
      <w:r w:rsidRPr="005D37EB">
        <w:rPr>
          <w:rFonts w:eastAsia="Aptos"/>
          <w:kern w:val="2"/>
          <w14:ligatures w14:val="standardContextual"/>
        </w:rPr>
        <w:t xml:space="preserve">to </w:t>
      </w:r>
      <w:r w:rsidRPr="005D37EB" w:rsidR="007427DC">
        <w:rPr>
          <w:rFonts w:eastAsia="Aptos"/>
          <w:kern w:val="2"/>
          <w14:ligatures w14:val="standardContextual"/>
        </w:rPr>
        <w:t>eventually</w:t>
      </w:r>
      <w:r w:rsidRPr="005D37EB">
        <w:rPr>
          <w:rFonts w:eastAsia="Aptos"/>
          <w:kern w:val="2"/>
          <w14:ligatures w14:val="standardContextual"/>
        </w:rPr>
        <w:t xml:space="preserve"> review the work-life balance directive</w:t>
      </w:r>
      <w:r w:rsidRPr="005D37EB" w:rsidR="007427DC">
        <w:t xml:space="preserve"> </w:t>
      </w:r>
      <w:r w:rsidRPr="005D37EB" w:rsidR="007427DC">
        <w:rPr>
          <w:rFonts w:eastAsia="Aptos"/>
          <w:kern w:val="2"/>
          <w14:ligatures w14:val="standardContextual"/>
        </w:rPr>
        <w:t>following the process of consultation</w:t>
      </w:r>
      <w:r w:rsidRPr="005D37EB">
        <w:rPr>
          <w:rFonts w:eastAsia="Aptos"/>
          <w:kern w:val="2"/>
          <w14:ligatures w14:val="standardContextual"/>
        </w:rPr>
        <w:t>, in particular during the preparation of the report under Article</w:t>
      </w:r>
      <w:r w:rsidRPr="005D37EB" w:rsidR="001033C8">
        <w:rPr>
          <w:rFonts w:eastAsia="Aptos"/>
          <w:kern w:val="2"/>
          <w14:ligatures w14:val="standardContextual"/>
        </w:rPr>
        <w:t> </w:t>
      </w:r>
      <w:r w:rsidRPr="005D37EB">
        <w:rPr>
          <w:rFonts w:eastAsia="Aptos"/>
          <w:kern w:val="2"/>
          <w14:ligatures w14:val="standardContextual"/>
        </w:rPr>
        <w:t>18, and to propose a redefinition of the Directive</w:t>
      </w:r>
      <w:r w:rsidRPr="005D37EB" w:rsidR="006B2199">
        <w:rPr>
          <w:rFonts w:eastAsia="Aptos"/>
          <w:kern w:val="2"/>
          <w14:ligatures w14:val="standardContextual"/>
        </w:rPr>
        <w:t>’</w:t>
      </w:r>
      <w:r w:rsidRPr="005D37EB">
        <w:rPr>
          <w:rFonts w:eastAsia="Aptos"/>
          <w:kern w:val="2"/>
          <w14:ligatures w14:val="standardContextual"/>
        </w:rPr>
        <w:t>s rules in the context of the digital transition, which would provide efficient ways to ensure more flexible working arrangements</w:t>
      </w:r>
      <w:r w:rsidRPr="005D37EB" w:rsidR="007427DC">
        <w:rPr>
          <w:rFonts w:eastAsia="Aptos"/>
          <w:kern w:val="2"/>
          <w14:ligatures w14:val="standardContextual"/>
        </w:rPr>
        <w:t xml:space="preserve"> (e.g.: teleworking)</w:t>
      </w:r>
      <w:r w:rsidRPr="005D37EB">
        <w:rPr>
          <w:rFonts w:eastAsia="Aptos"/>
          <w:kern w:val="2"/>
          <w14:ligatures w14:val="standardContextual"/>
        </w:rPr>
        <w:t xml:space="preserve"> in the digital environment</w:t>
      </w:r>
      <w:r w:rsidRPr="005D37EB" w:rsidR="007427DC">
        <w:rPr>
          <w:rFonts w:eastAsia="Aptos"/>
          <w:kern w:val="2"/>
          <w14:ligatures w14:val="standardContextual"/>
        </w:rPr>
        <w:t>, also seeking to ensure fair and predictable working conditions and a healthy work-life balance</w:t>
      </w:r>
      <w:r w:rsidRPr="005D37EB" w:rsidR="006A1AF6">
        <w:rPr>
          <w:rFonts w:eastAsia="Aptos"/>
          <w:kern w:val="2"/>
          <w14:ligatures w14:val="standardContextual"/>
        </w:rPr>
        <w:t>. The Directive certainly marks a significant step forward in adding carers into the equation when it comes to facilitating a work-life balance, thus expanding the focus beyond the role of parents alone. However, the carer-related measures could be further strengthened to respond more effectively to the challenges posed by socio-demographic change. Specifically, it would be a positive move for the Directive to provide for more ambitious support for those caring for older persons or family members with disabilities, with the aim of ensuring equal access to care services and promoting a better balance between care responsibilities and opportunities for participation in the labour market. This could include, for example, remunerating carers’ leave and extending these rights to those who provide care to people outside their household, thus making the legislation more inclusive and more in tune with the diverse range of family and social circumstances</w:t>
      </w:r>
      <w:r w:rsidRPr="005D37EB">
        <w:rPr>
          <w:rFonts w:eastAsia="Aptos"/>
          <w:kern w:val="2"/>
          <w14:ligatures w14:val="standardContextual"/>
        </w:rPr>
        <w:t xml:space="preserve">; </w:t>
      </w:r>
    </w:p>
    <w:p w:rsidRPr="005D37EB" w:rsidR="003A4098" w:rsidP="000D1382" w:rsidRDefault="003A4098" w14:paraId="3D35FC55" w14:textId="77777777">
      <w:pPr>
        <w:spacing w:line="281" w:lineRule="auto"/>
        <w:rPr>
          <w:rFonts w:eastAsia="Aptos"/>
        </w:rPr>
      </w:pPr>
    </w:p>
    <w:p w:rsidRPr="005D37EB" w:rsidR="003A4098" w:rsidP="000D1382" w:rsidRDefault="003A4098" w14:paraId="5B1E15C1" w14:textId="267D449A">
      <w:pPr>
        <w:pStyle w:val="Heading1"/>
        <w:spacing w:line="281" w:lineRule="auto"/>
        <w:rPr>
          <w:rFonts w:eastAsia="Aptos"/>
          <w:kern w:val="2"/>
          <w14:ligatures w14:val="standardContextual"/>
        </w:rPr>
      </w:pPr>
      <w:r w:rsidRPr="005D37EB">
        <w:rPr>
          <w:rFonts w:eastAsia="Aptos"/>
          <w:kern w:val="2"/>
          <w14:ligatures w14:val="standardContextual"/>
        </w:rPr>
        <w:t xml:space="preserve">to promote further research of demographic </w:t>
      </w:r>
      <w:r w:rsidRPr="005D37EB" w:rsidR="009C732D">
        <w:rPr>
          <w:rFonts w:eastAsia="Aptos"/>
          <w:kern w:val="2"/>
          <w14:ligatures w14:val="standardContextual"/>
        </w:rPr>
        <w:t xml:space="preserve">issues with a </w:t>
      </w:r>
      <w:r w:rsidRPr="005D37EB">
        <w:rPr>
          <w:rFonts w:eastAsia="Aptos"/>
          <w:kern w:val="2"/>
          <w14:ligatures w14:val="standardContextual"/>
        </w:rPr>
        <w:t>scientific</w:t>
      </w:r>
      <w:r w:rsidRPr="005D37EB" w:rsidR="009C732D">
        <w:rPr>
          <w:rFonts w:eastAsia="Aptos"/>
          <w:kern w:val="2"/>
          <w14:ligatures w14:val="standardContextual"/>
        </w:rPr>
        <w:t xml:space="preserve"> approach and</w:t>
      </w:r>
      <w:r w:rsidRPr="005D37EB">
        <w:rPr>
          <w:rFonts w:eastAsia="Aptos"/>
          <w:kern w:val="2"/>
          <w14:ligatures w14:val="standardContextual"/>
        </w:rPr>
        <w:t xml:space="preserve"> data, targeting the remobili</w:t>
      </w:r>
      <w:r w:rsidRPr="005D37EB" w:rsidR="006B2199">
        <w:rPr>
          <w:rFonts w:eastAsia="Aptos"/>
          <w:kern w:val="2"/>
          <w14:ligatures w14:val="standardContextual"/>
        </w:rPr>
        <w:t>s</w:t>
      </w:r>
      <w:r w:rsidRPr="005D37EB">
        <w:rPr>
          <w:rFonts w:eastAsia="Aptos"/>
          <w:kern w:val="2"/>
          <w14:ligatures w14:val="standardContextual"/>
        </w:rPr>
        <w:t xml:space="preserve">ation of its internal human resources according to the pillars of parents, young and older generations and to further </w:t>
      </w:r>
      <w:r w:rsidRPr="005D37EB" w:rsidR="001E26B1">
        <w:rPr>
          <w:rFonts w:eastAsia="Aptos"/>
          <w:kern w:val="2"/>
          <w14:ligatures w14:val="standardContextual"/>
        </w:rPr>
        <w:t xml:space="preserve">explore </w:t>
      </w:r>
      <w:r w:rsidRPr="005D37EB">
        <w:rPr>
          <w:rFonts w:eastAsia="Aptos"/>
          <w:kern w:val="2"/>
          <w14:ligatures w14:val="standardContextual"/>
        </w:rPr>
        <w:t>the reasons behind the gap between actual and desired family size in the EU;</w:t>
      </w:r>
    </w:p>
    <w:p w:rsidRPr="005D37EB" w:rsidR="003A4098" w:rsidP="000D1382" w:rsidRDefault="003A4098" w14:paraId="2C3574E4" w14:textId="77777777">
      <w:pPr>
        <w:spacing w:line="281" w:lineRule="auto"/>
        <w:rPr>
          <w:rFonts w:eastAsia="Aptos"/>
        </w:rPr>
      </w:pPr>
    </w:p>
    <w:p w:rsidRPr="005D37EB" w:rsidR="003A4098" w:rsidP="000D1382" w:rsidRDefault="003A4098" w14:paraId="19D21843" w14:textId="7E342051">
      <w:pPr>
        <w:pStyle w:val="Heading1"/>
        <w:spacing w:line="281" w:lineRule="auto"/>
        <w:rPr>
          <w:rFonts w:eastAsia="Aptos"/>
          <w:kern w:val="2"/>
          <w14:ligatures w14:val="standardContextual"/>
        </w:rPr>
      </w:pPr>
      <w:r w:rsidRPr="005D37EB">
        <w:rPr>
          <w:rFonts w:eastAsia="Aptos"/>
          <w:kern w:val="2"/>
          <w14:ligatures w14:val="standardContextual"/>
        </w:rPr>
        <w:t>to develop</w:t>
      </w:r>
      <w:r w:rsidRPr="005D37EB" w:rsidR="00B42278">
        <w:t xml:space="preserve"> </w:t>
      </w:r>
      <w:r w:rsidRPr="005D37EB" w:rsidR="00B42278">
        <w:rPr>
          <w:rFonts w:eastAsia="Aptos"/>
          <w:kern w:val="2"/>
          <w14:ligatures w14:val="standardContextual"/>
        </w:rPr>
        <w:t>gender-disaggregated</w:t>
      </w:r>
      <w:r w:rsidRPr="005D37EB">
        <w:rPr>
          <w:rFonts w:eastAsia="Aptos"/>
          <w:kern w:val="2"/>
          <w14:ligatures w14:val="standardContextual"/>
        </w:rPr>
        <w:t xml:space="preserve"> performance and result-oriented indicators in the field of demographic transition</w:t>
      </w:r>
      <w:r w:rsidRPr="005D37EB" w:rsidR="00E6538C">
        <w:t xml:space="preserve"> </w:t>
      </w:r>
      <w:r w:rsidRPr="005D37EB" w:rsidR="00E6538C">
        <w:rPr>
          <w:rFonts w:eastAsia="Aptos"/>
          <w:kern w:val="2"/>
          <w14:ligatures w14:val="standardContextual"/>
        </w:rPr>
        <w:t>at the appropriate territorial level</w:t>
      </w:r>
      <w:r w:rsidRPr="005D37EB">
        <w:rPr>
          <w:rFonts w:eastAsia="Aptos"/>
          <w:kern w:val="2"/>
          <w14:ligatures w14:val="standardContextual"/>
        </w:rPr>
        <w:t>;</w:t>
      </w:r>
    </w:p>
    <w:p w:rsidRPr="005D37EB" w:rsidR="003A4098" w:rsidP="000D1382" w:rsidRDefault="003A4098" w14:paraId="2BF9761E" w14:textId="77777777">
      <w:pPr>
        <w:spacing w:line="281" w:lineRule="auto"/>
        <w:rPr>
          <w:rFonts w:eastAsia="Aptos"/>
        </w:rPr>
      </w:pPr>
    </w:p>
    <w:p w:rsidRPr="005D37EB" w:rsidR="003A4098" w:rsidP="000D1382" w:rsidRDefault="003A4098" w14:paraId="1C352415" w14:textId="23BBE157">
      <w:pPr>
        <w:keepNext/>
        <w:spacing w:line="281" w:lineRule="auto"/>
        <w:rPr>
          <w:rFonts w:eastAsia="Aptos"/>
          <w:kern w:val="2"/>
          <w14:ligatures w14:val="standardContextual"/>
        </w:rPr>
      </w:pPr>
      <w:r w:rsidRPr="005D37EB">
        <w:rPr>
          <w:rFonts w:eastAsia="Aptos"/>
          <w:kern w:val="2"/>
          <w14:ligatures w14:val="standardContextual"/>
        </w:rPr>
        <w:t>calls on the Member States:</w:t>
      </w:r>
    </w:p>
    <w:p w:rsidRPr="005D37EB" w:rsidR="003A4098" w:rsidP="000D1382" w:rsidRDefault="003A4098" w14:paraId="3DB60289" w14:textId="77777777">
      <w:pPr>
        <w:keepNext/>
        <w:spacing w:line="281" w:lineRule="auto"/>
        <w:rPr>
          <w:rFonts w:eastAsia="Calibri"/>
          <w:kern w:val="2"/>
          <w:sz w:val="24"/>
          <w:szCs w:val="24"/>
          <w14:ligatures w14:val="standardContextual"/>
        </w:rPr>
      </w:pPr>
    </w:p>
    <w:p w:rsidRPr="005D37EB" w:rsidR="003A4098" w:rsidP="000D1382" w:rsidRDefault="003A4098" w14:paraId="0A8C117F" w14:textId="6F050D5E">
      <w:pPr>
        <w:pStyle w:val="Heading1"/>
        <w:spacing w:line="281" w:lineRule="auto"/>
        <w:rPr>
          <w:rFonts w:eastAsia="Aptos"/>
          <w:kern w:val="2"/>
          <w14:ligatures w14:val="standardContextual"/>
        </w:rPr>
      </w:pPr>
      <w:r w:rsidRPr="005D37EB">
        <w:rPr>
          <w:rFonts w:eastAsia="Aptos"/>
          <w:kern w:val="2"/>
          <w14:ligatures w14:val="standardContextual"/>
        </w:rPr>
        <w:t>to consider the establishment of a Permanent Council configuration comprising a group of ministers in charge of demography from the Member States</w:t>
      </w:r>
      <w:r w:rsidRPr="005D37EB" w:rsidR="00B42278">
        <w:rPr>
          <w:rFonts w:eastAsia="Aptos"/>
          <w:kern w:val="2"/>
          <w14:ligatures w14:val="standardContextual"/>
        </w:rPr>
        <w:t>.</w:t>
      </w:r>
      <w:r w:rsidRPr="005D37EB" w:rsidR="00B42278">
        <w:t xml:space="preserve"> </w:t>
      </w:r>
      <w:r w:rsidRPr="005D37EB" w:rsidR="00B42278">
        <w:rPr>
          <w:rFonts w:eastAsia="Aptos"/>
          <w:kern w:val="2"/>
          <w14:ligatures w14:val="standardContextual"/>
        </w:rPr>
        <w:t xml:space="preserve">Such a Council configuration should keep in mind gender equality </w:t>
      </w:r>
      <w:r w:rsidRPr="005D37EB" w:rsidR="00E6538C">
        <w:rPr>
          <w:rFonts w:eastAsia="Aptos"/>
          <w:kern w:val="2"/>
          <w14:ligatures w14:val="standardContextual"/>
        </w:rPr>
        <w:t>and the intergenerational dimension</w:t>
      </w:r>
      <w:r w:rsidRPr="005D37EB" w:rsidDel="00E6538C" w:rsidR="00E6538C">
        <w:rPr>
          <w:rFonts w:eastAsia="Aptos"/>
          <w:kern w:val="2"/>
          <w14:ligatures w14:val="standardContextual"/>
        </w:rPr>
        <w:t xml:space="preserve"> </w:t>
      </w:r>
      <w:r w:rsidRPr="005D37EB">
        <w:rPr>
          <w:rFonts w:eastAsia="Aptos"/>
          <w:kern w:val="2"/>
          <w14:ligatures w14:val="standardContextual"/>
        </w:rPr>
        <w:t>, while developing mechanisms for sharing good practice</w:t>
      </w:r>
      <w:r w:rsidRPr="005D37EB" w:rsidR="001E26B1">
        <w:rPr>
          <w:rFonts w:eastAsia="Aptos"/>
          <w:kern w:val="2"/>
          <w14:ligatures w14:val="standardContextual"/>
        </w:rPr>
        <w:t>s</w:t>
      </w:r>
      <w:r w:rsidRPr="005D37EB">
        <w:rPr>
          <w:rFonts w:eastAsia="Aptos"/>
          <w:kern w:val="2"/>
          <w14:ligatures w14:val="standardContextual"/>
        </w:rPr>
        <w:t xml:space="preserve"> at European level on their national policies to support parents, families, young and elderly </w:t>
      </w:r>
      <w:r w:rsidRPr="005D37EB" w:rsidR="00B42278">
        <w:rPr>
          <w:rFonts w:eastAsia="Aptos"/>
          <w:kern w:val="2"/>
          <w14:ligatures w14:val="standardContextual"/>
        </w:rPr>
        <w:t>women and men</w:t>
      </w:r>
      <w:r w:rsidRPr="005D37EB">
        <w:rPr>
          <w:rFonts w:eastAsia="Aptos"/>
          <w:kern w:val="2"/>
          <w14:ligatures w14:val="standardContextual"/>
        </w:rPr>
        <w:t xml:space="preserve"> and respecting national competences;</w:t>
      </w:r>
    </w:p>
    <w:p w:rsidRPr="005D37EB" w:rsidR="003A4098" w:rsidP="000D1382" w:rsidRDefault="003A4098" w14:paraId="3A87F2CE" w14:textId="77777777">
      <w:pPr>
        <w:spacing w:line="281" w:lineRule="auto"/>
        <w:rPr>
          <w:rFonts w:eastAsia="Aptos"/>
        </w:rPr>
      </w:pPr>
    </w:p>
    <w:p w:rsidRPr="005D37EB" w:rsidR="003A4098" w:rsidP="000D1382" w:rsidRDefault="003A4098" w14:paraId="0C7A8F1F" w14:textId="5E4FC2D4">
      <w:pPr>
        <w:pStyle w:val="Heading1"/>
        <w:spacing w:line="281" w:lineRule="auto"/>
        <w:rPr>
          <w:rFonts w:eastAsia="Aptos"/>
          <w:kern w:val="2"/>
          <w14:ligatures w14:val="standardContextual"/>
        </w:rPr>
      </w:pPr>
      <w:r w:rsidRPr="005D37EB">
        <w:rPr>
          <w:rFonts w:eastAsia="Aptos"/>
          <w:kern w:val="2"/>
          <w14:ligatures w14:val="standardContextual"/>
        </w:rPr>
        <w:t>to prioriti</w:t>
      </w:r>
      <w:r w:rsidRPr="005D37EB" w:rsidR="006B2199">
        <w:rPr>
          <w:rFonts w:eastAsia="Aptos"/>
          <w:kern w:val="2"/>
          <w14:ligatures w14:val="standardContextual"/>
        </w:rPr>
        <w:t>s</w:t>
      </w:r>
      <w:r w:rsidRPr="005D37EB">
        <w:rPr>
          <w:rFonts w:eastAsia="Aptos"/>
          <w:kern w:val="2"/>
          <w14:ligatures w14:val="standardContextual"/>
        </w:rPr>
        <w:t>e initiatives</w:t>
      </w:r>
      <w:r w:rsidRPr="005D37EB" w:rsidR="00B42278">
        <w:t xml:space="preserve"> </w:t>
      </w:r>
      <w:r w:rsidRPr="005D37EB" w:rsidR="00B42278">
        <w:rPr>
          <w:rFonts w:eastAsia="Aptos"/>
          <w:kern w:val="2"/>
          <w14:ligatures w14:val="standardContextual"/>
        </w:rPr>
        <w:t>that contribute to gender equality</w:t>
      </w:r>
      <w:r w:rsidRPr="005D37EB" w:rsidR="00A56DBF">
        <w:rPr>
          <w:rFonts w:eastAsia="Aptos"/>
          <w:kern w:val="2"/>
          <w14:ligatures w14:val="standardContextual"/>
        </w:rPr>
        <w:t>, retain</w:t>
      </w:r>
      <w:r w:rsidRPr="005D37EB" w:rsidR="00B42278">
        <w:rPr>
          <w:rFonts w:eastAsia="Aptos"/>
          <w:kern w:val="2"/>
          <w14:ligatures w14:val="standardContextual"/>
        </w:rPr>
        <w:t xml:space="preserve"> and </w:t>
      </w:r>
      <w:r w:rsidRPr="005D37EB" w:rsidR="00A56DBF">
        <w:rPr>
          <w:rFonts w:eastAsia="Aptos"/>
          <w:kern w:val="2"/>
          <w14:ligatures w14:val="standardContextual"/>
        </w:rPr>
        <w:t xml:space="preserve">attract young people in areas of demographic decline, and </w:t>
      </w:r>
      <w:r w:rsidRPr="005D37EB" w:rsidR="00B42278">
        <w:rPr>
          <w:rFonts w:eastAsia="Aptos"/>
          <w:kern w:val="2"/>
          <w14:ligatures w14:val="standardContextual"/>
        </w:rPr>
        <w:t>are</w:t>
      </w:r>
      <w:r w:rsidRPr="005D37EB">
        <w:rPr>
          <w:rFonts w:eastAsia="Aptos"/>
          <w:kern w:val="2"/>
          <w14:ligatures w14:val="standardContextual"/>
        </w:rPr>
        <w:t xml:space="preserve"> aimed at raising birth rates within Member States by fostering supportive conditions for </w:t>
      </w:r>
      <w:r w:rsidRPr="005D37EB" w:rsidR="00B42278">
        <w:rPr>
          <w:rFonts w:eastAsia="Aptos"/>
          <w:kern w:val="2"/>
          <w14:ligatures w14:val="standardContextual"/>
        </w:rPr>
        <w:t xml:space="preserve">women and men who </w:t>
      </w:r>
      <w:r w:rsidRPr="005D37EB" w:rsidR="001E26B1">
        <w:rPr>
          <w:rFonts w:eastAsia="Aptos"/>
          <w:kern w:val="2"/>
          <w14:ligatures w14:val="standardContextual"/>
        </w:rPr>
        <w:t xml:space="preserve">want to have </w:t>
      </w:r>
      <w:r w:rsidRPr="005D37EB">
        <w:rPr>
          <w:rFonts w:eastAsia="Aptos"/>
          <w:kern w:val="2"/>
          <w14:ligatures w14:val="standardContextual"/>
        </w:rPr>
        <w:t>children;</w:t>
      </w:r>
    </w:p>
    <w:p w:rsidRPr="005D37EB" w:rsidR="003A4098" w:rsidP="000D1382" w:rsidRDefault="003A4098" w14:paraId="54D15A46" w14:textId="77777777">
      <w:pPr>
        <w:spacing w:line="281" w:lineRule="auto"/>
        <w:rPr>
          <w:rFonts w:eastAsia="Aptos"/>
        </w:rPr>
      </w:pPr>
    </w:p>
    <w:p w:rsidRPr="005D37EB" w:rsidR="00770FA7" w:rsidP="000D1382" w:rsidRDefault="003A4098" w14:paraId="4A72908F" w14:textId="52DF0BB9">
      <w:pPr>
        <w:pStyle w:val="Heading1"/>
        <w:spacing w:line="281" w:lineRule="auto"/>
        <w:rPr>
          <w:rFonts w:eastAsia="Aptos"/>
          <w:kern w:val="2"/>
          <w14:ligatures w14:val="standardContextual"/>
        </w:rPr>
      </w:pPr>
      <w:r w:rsidRPr="005D37EB">
        <w:rPr>
          <w:rFonts w:eastAsia="Aptos"/>
          <w:kern w:val="2"/>
          <w14:ligatures w14:val="standardContextual"/>
        </w:rPr>
        <w:t>recalls that the International Day of Families has been held in the United Nations each year on 15</w:t>
      </w:r>
      <w:r w:rsidRPr="005D37EB" w:rsidR="000C7F98">
        <w:rPr>
          <w:rFonts w:eastAsia="Aptos"/>
          <w:kern w:val="2"/>
          <w14:ligatures w14:val="standardContextual"/>
        </w:rPr>
        <w:t> </w:t>
      </w:r>
      <w:r w:rsidRPr="005D37EB">
        <w:rPr>
          <w:rFonts w:eastAsia="Aptos"/>
          <w:kern w:val="2"/>
          <w14:ligatures w14:val="standardContextual"/>
        </w:rPr>
        <w:t>May; accordingly proposes to establish a European Day of Families</w:t>
      </w:r>
      <w:r w:rsidRPr="005D37EB" w:rsidR="00491DB8">
        <w:rPr>
          <w:rFonts w:eastAsia="Aptos"/>
          <w:kern w:val="2"/>
          <w14:ligatures w14:val="standardContextual"/>
        </w:rPr>
        <w:t>, celebrating families in all their diversity</w:t>
      </w:r>
      <w:r w:rsidRPr="005D37EB" w:rsidR="00194DD4">
        <w:rPr>
          <w:rFonts w:eastAsia="Aptos"/>
          <w:kern w:val="2"/>
          <w14:ligatures w14:val="standardContextual"/>
        </w:rPr>
        <w:t>;</w:t>
      </w:r>
    </w:p>
    <w:p w:rsidRPr="005D37EB" w:rsidR="00194DD4" w:rsidP="000D1382" w:rsidRDefault="00194DD4" w14:paraId="42476212" w14:textId="478A2A20">
      <w:pPr>
        <w:spacing w:line="281" w:lineRule="auto"/>
        <w:rPr>
          <w:rFonts w:eastAsia="Aptos"/>
        </w:rPr>
      </w:pPr>
    </w:p>
    <w:p w:rsidRPr="005D37EB" w:rsidR="00194DD4" w:rsidP="000D1382" w:rsidRDefault="00194DD4" w14:paraId="1A7EE272" w14:textId="4DA0095B">
      <w:pPr>
        <w:pStyle w:val="Heading1"/>
        <w:spacing w:line="281" w:lineRule="auto"/>
        <w:rPr>
          <w:rFonts w:eastAsia="Aptos"/>
          <w:kern w:val="2"/>
          <w14:ligatures w14:val="standardContextual"/>
        </w:rPr>
      </w:pPr>
      <w:r w:rsidRPr="005D37EB">
        <w:rPr>
          <w:rFonts w:eastAsia="Aptos"/>
          <w:kern w:val="2"/>
          <w14:ligatures w14:val="standardContextual"/>
        </w:rPr>
        <w:t>calls on the LRAs, especially those LRAs throughout Europe that already lead by example integrating migrants and refugees, to exchange best practices particularly with smaller municipalities that often lack the same capacity to welcome and integrate migrants; points to the Mechelen model as a living and recognised example to follow.</w:t>
      </w:r>
      <w:r w:rsidRPr="005D37EB" w:rsidR="005A1B18">
        <w:t xml:space="preserve"> </w:t>
      </w:r>
      <w:r w:rsidRPr="005D37EB" w:rsidR="005A1B18">
        <w:rPr>
          <w:rFonts w:eastAsia="Aptos"/>
          <w:kern w:val="2"/>
          <w14:ligatures w14:val="standardContextual"/>
        </w:rPr>
        <w:t>Introducing good practices for welcoming and integrating the migrant community must be promoted with funding for local authorities in rural areas so that they can strengthen their services.</w:t>
      </w:r>
    </w:p>
    <w:p w:rsidRPr="005D37EB" w:rsidR="00F342ED" w:rsidP="000D1382" w:rsidRDefault="00F342ED" w14:paraId="292B93FE" w14:textId="466BAAC9">
      <w:pPr>
        <w:pStyle w:val="Heading1"/>
        <w:numPr>
          <w:ilvl w:val="0"/>
          <w:numId w:val="0"/>
        </w:numPr>
        <w:spacing w:line="281" w:lineRule="auto"/>
      </w:pPr>
    </w:p>
    <w:p w:rsidR="007E0F39" w:rsidP="00AB4D99" w:rsidRDefault="00AB4D99" w14:paraId="05A8DB38" w14:textId="3DC904D6">
      <w:r w:rsidRPr="005D37EB">
        <w:t>Brussels,</w:t>
      </w:r>
      <w:r w:rsidRPr="005D37EB" w:rsidR="00A24319">
        <w:t xml:space="preserve"> 9 October 2024</w:t>
      </w:r>
      <w:r w:rsidR="00F123FA">
        <w:t>.</w:t>
      </w:r>
    </w:p>
    <w:p w:rsidR="007E0F39" w:rsidRDefault="007E0F39" w14:paraId="63CB5C5C" w14:textId="77777777">
      <w:pPr>
        <w:spacing w:line="240" w:lineRule="auto"/>
        <w:jc w:val="left"/>
      </w:pPr>
      <w:r>
        <w:br w:type="page"/>
      </w:r>
    </w:p>
    <w:p w:rsidRPr="005D37EB" w:rsidR="00AB4D99" w:rsidP="00AB4D99" w:rsidRDefault="00AB4D99" w14:paraId="38B3F1A1" w14:textId="77777777"/>
    <w:tbl>
      <w:tblPr>
        <w:tblW w:w="0" w:type="auto"/>
        <w:tblLayout w:type="fixed"/>
        <w:tblLook w:val="0000" w:firstRow="0" w:lastRow="0" w:firstColumn="0" w:lastColumn="0" w:noHBand="0" w:noVBand="0"/>
      </w:tblPr>
      <w:tblGrid>
        <w:gridCol w:w="4644"/>
        <w:gridCol w:w="4645"/>
      </w:tblGrid>
      <w:tr w:rsidRPr="005D37EB" w:rsidR="00AB4D99" w:rsidTr="0051480E" w14:paraId="3886965F" w14:textId="77777777">
        <w:tc>
          <w:tcPr>
            <w:tcW w:w="4644" w:type="dxa"/>
          </w:tcPr>
          <w:p w:rsidRPr="005D37EB" w:rsidR="00AB4D99" w:rsidP="0051480E" w:rsidRDefault="00AB4D99" w14:paraId="6A49799D" w14:textId="77777777">
            <w:pPr>
              <w:jc w:val="center"/>
              <w:rPr>
                <w:i/>
                <w:iCs/>
              </w:rPr>
            </w:pPr>
            <w:r w:rsidRPr="005D37EB">
              <w:rPr>
                <w:i/>
                <w:iCs/>
              </w:rPr>
              <w:t>The President</w:t>
            </w:r>
            <w:r w:rsidRPr="005D37EB">
              <w:rPr>
                <w:i/>
                <w:iCs/>
              </w:rPr>
              <w:br/>
              <w:t>of the European Committee of the Regions</w:t>
            </w:r>
          </w:p>
          <w:p w:rsidRPr="005D37EB" w:rsidR="00AB4D99" w:rsidP="0051480E" w:rsidRDefault="00AB4D99" w14:paraId="1FCB6ADB" w14:textId="77777777">
            <w:pPr>
              <w:jc w:val="center"/>
              <w:rPr>
                <w:i/>
                <w:iCs/>
              </w:rPr>
            </w:pPr>
          </w:p>
          <w:p w:rsidRPr="005D37EB" w:rsidR="00AB4D99" w:rsidP="0051480E" w:rsidRDefault="00AB4D99" w14:paraId="59CF1FD6" w14:textId="77777777">
            <w:pPr>
              <w:jc w:val="center"/>
              <w:rPr>
                <w:i/>
                <w:iCs/>
              </w:rPr>
            </w:pPr>
          </w:p>
          <w:p w:rsidRPr="005D37EB" w:rsidR="00AB4D99" w:rsidP="0051480E" w:rsidRDefault="00AB4D99" w14:paraId="7A052B22" w14:textId="77777777">
            <w:pPr>
              <w:jc w:val="center"/>
              <w:rPr>
                <w:i/>
                <w:iCs/>
              </w:rPr>
            </w:pPr>
          </w:p>
          <w:p w:rsidRPr="005D37EB" w:rsidR="00AB4D99" w:rsidP="0051480E" w:rsidRDefault="00AB4D99" w14:paraId="3354A1C0" w14:textId="77777777">
            <w:pPr>
              <w:jc w:val="center"/>
              <w:rPr>
                <w:i/>
                <w:iCs/>
              </w:rPr>
            </w:pPr>
          </w:p>
          <w:p w:rsidRPr="005D37EB" w:rsidR="00AB4D99" w:rsidP="0051480E" w:rsidRDefault="00A24319" w14:paraId="50CE19E4" w14:textId="1A18F74D">
            <w:pPr>
              <w:jc w:val="center"/>
            </w:pPr>
            <w:r w:rsidRPr="005D37EB">
              <w:t>Vasco Alves Cordeiro</w:t>
            </w:r>
          </w:p>
        </w:tc>
        <w:tc>
          <w:tcPr>
            <w:tcW w:w="4645" w:type="dxa"/>
          </w:tcPr>
          <w:p w:rsidRPr="005D37EB" w:rsidR="00AB4D99" w:rsidP="0051480E" w:rsidRDefault="00AB4D99" w14:paraId="0DC42330" w14:textId="77777777">
            <w:pPr>
              <w:jc w:val="center"/>
            </w:pPr>
          </w:p>
        </w:tc>
      </w:tr>
      <w:tr w:rsidRPr="005D37EB" w:rsidR="00AB4D99" w:rsidTr="0051480E" w14:paraId="0DBFECA1" w14:textId="77777777">
        <w:tc>
          <w:tcPr>
            <w:tcW w:w="4644" w:type="dxa"/>
          </w:tcPr>
          <w:p w:rsidRPr="005D37EB" w:rsidR="00AB4D99" w:rsidP="0051480E" w:rsidRDefault="00AB4D99" w14:paraId="1E437B41" w14:textId="77777777">
            <w:pPr>
              <w:jc w:val="center"/>
            </w:pPr>
          </w:p>
        </w:tc>
        <w:tc>
          <w:tcPr>
            <w:tcW w:w="4645" w:type="dxa"/>
          </w:tcPr>
          <w:p w:rsidRPr="005D37EB" w:rsidR="00AB4D99" w:rsidP="0051480E" w:rsidRDefault="00AB4D99" w14:paraId="1DDC1DB2" w14:textId="77777777">
            <w:pPr>
              <w:jc w:val="center"/>
              <w:rPr>
                <w:i/>
                <w:iCs/>
                <w:color w:val="000000"/>
              </w:rPr>
            </w:pPr>
            <w:r w:rsidRPr="005D37EB">
              <w:rPr>
                <w:i/>
                <w:iCs/>
              </w:rPr>
              <w:t>The Secretary-General</w:t>
            </w:r>
            <w:r w:rsidRPr="005D37EB">
              <w:rPr>
                <w:i/>
                <w:iCs/>
              </w:rPr>
              <w:br/>
              <w:t>of the European Committee of the Re</w:t>
            </w:r>
            <w:r w:rsidRPr="005D37EB">
              <w:rPr>
                <w:i/>
                <w:iCs/>
                <w:color w:val="000000"/>
              </w:rPr>
              <w:t>gions</w:t>
            </w:r>
          </w:p>
          <w:p w:rsidRPr="005D37EB" w:rsidR="00AB4D99" w:rsidP="0051480E" w:rsidRDefault="00AB4D99" w14:paraId="206BE82B" w14:textId="77777777">
            <w:pPr>
              <w:jc w:val="center"/>
              <w:rPr>
                <w:i/>
                <w:iCs/>
                <w:color w:val="000000"/>
              </w:rPr>
            </w:pPr>
          </w:p>
          <w:p w:rsidRPr="005D37EB" w:rsidR="00AB4D99" w:rsidP="0051480E" w:rsidRDefault="00AB4D99" w14:paraId="66B67D6E" w14:textId="77777777">
            <w:pPr>
              <w:jc w:val="center"/>
              <w:rPr>
                <w:i/>
                <w:iCs/>
                <w:color w:val="000000"/>
              </w:rPr>
            </w:pPr>
          </w:p>
          <w:p w:rsidRPr="005D37EB" w:rsidR="00AB4D99" w:rsidP="0051480E" w:rsidRDefault="00AB4D99" w14:paraId="01F6CD91" w14:textId="77777777">
            <w:pPr>
              <w:jc w:val="center"/>
              <w:rPr>
                <w:i/>
                <w:iCs/>
                <w:color w:val="000000"/>
              </w:rPr>
            </w:pPr>
          </w:p>
          <w:p w:rsidRPr="005D37EB" w:rsidR="00AB4D99" w:rsidP="0051480E" w:rsidRDefault="00AB4D99" w14:paraId="7438D6AA" w14:textId="77777777">
            <w:pPr>
              <w:jc w:val="center"/>
              <w:rPr>
                <w:i/>
                <w:iCs/>
                <w:color w:val="000000"/>
              </w:rPr>
            </w:pPr>
          </w:p>
          <w:p w:rsidRPr="005D37EB" w:rsidR="00AB4D99" w:rsidP="0051480E" w:rsidRDefault="00A24319" w14:paraId="4390314B" w14:textId="534B24ED">
            <w:pPr>
              <w:jc w:val="center"/>
            </w:pPr>
            <w:r w:rsidRPr="005D37EB">
              <w:t>Petr Blížkovský</w:t>
            </w:r>
          </w:p>
        </w:tc>
      </w:tr>
    </w:tbl>
    <w:p w:rsidRPr="005D37EB" w:rsidR="00AD4FCB" w:rsidP="000D1382" w:rsidRDefault="00AD4FCB" w14:paraId="4CD8D35E" w14:textId="77777777">
      <w:pPr>
        <w:spacing w:line="281" w:lineRule="auto"/>
      </w:pPr>
    </w:p>
    <w:p w:rsidRPr="005D37EB" w:rsidR="00444A98" w:rsidP="00417692" w:rsidRDefault="00444A98" w14:paraId="01DD63B8" w14:textId="77777777">
      <w:pPr>
        <w:numPr>
          <w:ilvl w:val="0"/>
          <w:numId w:val="4"/>
        </w:numPr>
        <w:spacing w:line="281" w:lineRule="auto"/>
        <w:ind w:left="567" w:hanging="567"/>
        <w:rPr>
          <w:b/>
          <w:bCs/>
        </w:rPr>
      </w:pPr>
      <w:r w:rsidRPr="005D37EB">
        <w:br w:type="page"/>
      </w:r>
      <w:r w:rsidRPr="005D37EB">
        <w:rPr>
          <w:b/>
          <w:bCs/>
        </w:rPr>
        <w:t>PROCEDURE</w:t>
      </w:r>
    </w:p>
    <w:p w:rsidRPr="005D37EB" w:rsidR="00483D92" w:rsidP="00483D92" w:rsidRDefault="00483D92" w14:paraId="4A5BC7B9" w14:textId="77777777"/>
    <w:tbl>
      <w:tblPr>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5D37EB" w:rsidR="00483D92" w:rsidTr="00B56289" w14:paraId="05F43510" w14:textId="77777777">
        <w:trPr>
          <w:jc w:val="center"/>
        </w:trPr>
        <w:tc>
          <w:tcPr>
            <w:tcW w:w="3848" w:type="dxa"/>
            <w:noWrap/>
          </w:tcPr>
          <w:p w:rsidRPr="005D37EB" w:rsidR="00483D92" w:rsidP="00B56289" w:rsidRDefault="00483D92" w14:paraId="3E09D953" w14:textId="77777777">
            <w:pPr>
              <w:jc w:val="left"/>
              <w:rPr>
                <w:b/>
                <w:bCs/>
              </w:rPr>
            </w:pPr>
            <w:r w:rsidRPr="005D37EB">
              <w:rPr>
                <w:b/>
                <w:bCs/>
              </w:rPr>
              <w:t>Title</w:t>
            </w:r>
          </w:p>
          <w:p w:rsidRPr="005D37EB" w:rsidR="00483D92" w:rsidP="00B56289" w:rsidRDefault="00483D92" w14:paraId="1AE32C2E" w14:textId="77777777">
            <w:pPr>
              <w:jc w:val="left"/>
            </w:pPr>
          </w:p>
        </w:tc>
        <w:tc>
          <w:tcPr>
            <w:tcW w:w="5441" w:type="dxa"/>
            <w:noWrap/>
          </w:tcPr>
          <w:p w:rsidRPr="005D37EB" w:rsidR="00483D92" w:rsidP="00B56289" w:rsidRDefault="00483D92" w14:paraId="1822B130" w14:textId="77777777">
            <w:r w:rsidRPr="005D37EB">
              <w:t>Demographic change in Europe: a toolbox for action</w:t>
            </w:r>
          </w:p>
        </w:tc>
      </w:tr>
      <w:tr w:rsidRPr="005D37EB" w:rsidR="00483D92" w:rsidTr="00B56289" w14:paraId="61542DAF" w14:textId="77777777">
        <w:trPr>
          <w:jc w:val="center"/>
        </w:trPr>
        <w:tc>
          <w:tcPr>
            <w:tcW w:w="3848" w:type="dxa"/>
            <w:noWrap/>
          </w:tcPr>
          <w:p w:rsidRPr="005D37EB" w:rsidR="00483D92" w:rsidP="00B56289" w:rsidRDefault="00483D92" w14:paraId="04A46A40" w14:textId="77777777">
            <w:pPr>
              <w:jc w:val="left"/>
              <w:rPr>
                <w:b/>
                <w:bCs/>
              </w:rPr>
            </w:pPr>
            <w:r w:rsidRPr="005D37EB">
              <w:rPr>
                <w:b/>
                <w:bCs/>
              </w:rPr>
              <w:t xml:space="preserve">Reference(s) </w:t>
            </w:r>
          </w:p>
        </w:tc>
        <w:tc>
          <w:tcPr>
            <w:tcW w:w="5441" w:type="dxa"/>
            <w:noWrap/>
          </w:tcPr>
          <w:p w:rsidRPr="005D37EB" w:rsidR="00483D92" w:rsidP="00B56289" w:rsidRDefault="00483D92" w14:paraId="328CDF02" w14:textId="07FA8BEB">
            <w:r w:rsidRPr="005D37EB">
              <w:t>COM(2023)577</w:t>
            </w:r>
            <w:r w:rsidRPr="005D37EB" w:rsidR="005963B6">
              <w:t xml:space="preserve"> final</w:t>
            </w:r>
            <w:r w:rsidRPr="005D37EB">
              <w:t xml:space="preserve"> </w:t>
            </w:r>
          </w:p>
        </w:tc>
      </w:tr>
      <w:tr w:rsidRPr="005D37EB" w:rsidR="00483D92" w:rsidTr="00B56289" w14:paraId="41338E96" w14:textId="77777777">
        <w:trPr>
          <w:jc w:val="center"/>
        </w:trPr>
        <w:tc>
          <w:tcPr>
            <w:tcW w:w="3848" w:type="dxa"/>
            <w:noWrap/>
          </w:tcPr>
          <w:p w:rsidRPr="005D37EB" w:rsidR="00483D92" w:rsidP="00B56289" w:rsidRDefault="00483D92" w14:paraId="75698A3B" w14:textId="77777777">
            <w:pPr>
              <w:jc w:val="left"/>
              <w:rPr>
                <w:b/>
                <w:bCs/>
              </w:rPr>
            </w:pPr>
            <w:r w:rsidRPr="005D37EB">
              <w:rPr>
                <w:b/>
                <w:bCs/>
              </w:rPr>
              <w:t>Legal basis</w:t>
            </w:r>
          </w:p>
        </w:tc>
        <w:tc>
          <w:tcPr>
            <w:tcW w:w="5441" w:type="dxa"/>
            <w:noWrap/>
          </w:tcPr>
          <w:p w:rsidRPr="005D37EB" w:rsidR="00483D92" w:rsidP="00B56289" w:rsidRDefault="00483D92" w14:paraId="6CE8FCB5" w14:textId="028E021C">
            <w:r w:rsidRPr="005D37EB">
              <w:t>Own-initiative, Art</w:t>
            </w:r>
            <w:r w:rsidRPr="005D37EB" w:rsidR="006B7ADD">
              <w:t>icle</w:t>
            </w:r>
            <w:r w:rsidRPr="005D37EB">
              <w:t xml:space="preserve"> 307</w:t>
            </w:r>
            <w:r w:rsidRPr="005D37EB" w:rsidR="0038109D">
              <w:t>(4)</w:t>
            </w:r>
          </w:p>
        </w:tc>
      </w:tr>
      <w:tr w:rsidRPr="005D37EB" w:rsidR="00483D92" w:rsidTr="00B56289" w14:paraId="12E199F2" w14:textId="77777777">
        <w:trPr>
          <w:jc w:val="center"/>
        </w:trPr>
        <w:tc>
          <w:tcPr>
            <w:tcW w:w="3848" w:type="dxa"/>
            <w:noWrap/>
          </w:tcPr>
          <w:p w:rsidRPr="005D37EB" w:rsidR="00483D92" w:rsidP="00B56289" w:rsidRDefault="00483D92" w14:paraId="71F1DA72" w14:textId="77777777">
            <w:pPr>
              <w:jc w:val="left"/>
              <w:rPr>
                <w:b/>
                <w:bCs/>
              </w:rPr>
            </w:pPr>
            <w:r w:rsidRPr="005D37EB">
              <w:rPr>
                <w:b/>
                <w:bCs/>
              </w:rPr>
              <w:t>Procedural basis</w:t>
            </w:r>
          </w:p>
        </w:tc>
        <w:tc>
          <w:tcPr>
            <w:tcW w:w="5441" w:type="dxa"/>
            <w:noWrap/>
          </w:tcPr>
          <w:p w:rsidRPr="005D37EB" w:rsidR="00483D92" w:rsidP="00B56289" w:rsidRDefault="00483D92" w14:paraId="66562BF7" w14:textId="1CF3A6D8">
            <w:r w:rsidRPr="005D37EB">
              <w:t>Art</w:t>
            </w:r>
            <w:r w:rsidRPr="005D37EB" w:rsidR="006B7ADD">
              <w:t>icle</w:t>
            </w:r>
            <w:r w:rsidRPr="005D37EB">
              <w:t xml:space="preserve"> 41, b)(i)</w:t>
            </w:r>
          </w:p>
        </w:tc>
      </w:tr>
      <w:tr w:rsidRPr="005D37EB" w:rsidR="00483D92" w:rsidTr="00B56289" w14:paraId="6F178A02" w14:textId="77777777">
        <w:trPr>
          <w:jc w:val="center"/>
        </w:trPr>
        <w:tc>
          <w:tcPr>
            <w:tcW w:w="3848" w:type="dxa"/>
          </w:tcPr>
          <w:p w:rsidRPr="005D37EB" w:rsidR="00483D92" w:rsidP="00B56289" w:rsidRDefault="00483D92" w14:paraId="73DB8C03" w14:textId="77777777">
            <w:pPr>
              <w:jc w:val="left"/>
            </w:pPr>
            <w:r w:rsidRPr="005D37EB">
              <w:rPr>
                <w:b/>
                <w:bCs/>
              </w:rPr>
              <w:t>Date of Council/EP referral/Date of Commission letter</w:t>
            </w:r>
          </w:p>
        </w:tc>
        <w:tc>
          <w:tcPr>
            <w:tcW w:w="5441" w:type="dxa"/>
            <w:noWrap/>
          </w:tcPr>
          <w:p w:rsidRPr="005D37EB" w:rsidR="00483D92" w:rsidP="00B56289" w:rsidRDefault="00483D92" w14:paraId="48974AA5" w14:textId="4A546890">
            <w:r w:rsidRPr="005D37EB">
              <w:t>COM(2023) 577: EC (12/10/23)</w:t>
            </w:r>
          </w:p>
        </w:tc>
      </w:tr>
      <w:tr w:rsidRPr="005D37EB" w:rsidR="00483D92" w:rsidTr="00B56289" w14:paraId="43FB5F54" w14:textId="77777777">
        <w:trPr>
          <w:jc w:val="center"/>
        </w:trPr>
        <w:tc>
          <w:tcPr>
            <w:tcW w:w="3848" w:type="dxa"/>
          </w:tcPr>
          <w:p w:rsidRPr="005D37EB" w:rsidR="00483D92" w:rsidP="00B56289" w:rsidRDefault="00483D92" w14:paraId="75166868" w14:textId="06D3091B">
            <w:pPr>
              <w:jc w:val="left"/>
            </w:pPr>
            <w:r w:rsidRPr="005D37EB">
              <w:rPr>
                <w:b/>
                <w:bCs/>
              </w:rPr>
              <w:t>Date of Bureau/President</w:t>
            </w:r>
            <w:r w:rsidRPr="005D37EB" w:rsidR="006B2199">
              <w:rPr>
                <w:b/>
                <w:bCs/>
              </w:rPr>
              <w:t>’</w:t>
            </w:r>
            <w:r w:rsidRPr="005D37EB">
              <w:rPr>
                <w:b/>
                <w:bCs/>
              </w:rPr>
              <w:t>s decision</w:t>
            </w:r>
          </w:p>
        </w:tc>
        <w:tc>
          <w:tcPr>
            <w:tcW w:w="5441" w:type="dxa"/>
            <w:noWrap/>
          </w:tcPr>
          <w:p w:rsidRPr="005D37EB" w:rsidR="00483D92" w:rsidP="00B56289" w:rsidRDefault="00483D92" w14:paraId="77B05D62" w14:textId="77777777">
            <w:r w:rsidRPr="005D37EB">
              <w:t>24/10/2023</w:t>
            </w:r>
          </w:p>
        </w:tc>
      </w:tr>
      <w:tr w:rsidRPr="005D37EB" w:rsidR="00483D92" w:rsidTr="00B56289" w14:paraId="672D6C92" w14:textId="77777777">
        <w:trPr>
          <w:jc w:val="center"/>
        </w:trPr>
        <w:tc>
          <w:tcPr>
            <w:tcW w:w="3848" w:type="dxa"/>
            <w:noWrap/>
          </w:tcPr>
          <w:p w:rsidRPr="005D37EB" w:rsidR="00483D92" w:rsidP="00B56289" w:rsidRDefault="00483D92" w14:paraId="1D84F48E" w14:textId="77777777">
            <w:pPr>
              <w:jc w:val="left"/>
              <w:rPr>
                <w:b/>
                <w:bCs/>
              </w:rPr>
            </w:pPr>
            <w:r w:rsidRPr="005D37EB">
              <w:rPr>
                <w:b/>
                <w:bCs/>
              </w:rPr>
              <w:t>Commission responsible</w:t>
            </w:r>
          </w:p>
        </w:tc>
        <w:tc>
          <w:tcPr>
            <w:tcW w:w="5441" w:type="dxa"/>
            <w:noWrap/>
          </w:tcPr>
          <w:p w:rsidRPr="005D37EB" w:rsidR="00483D92" w:rsidP="00B56289" w:rsidRDefault="00483D92" w14:paraId="10A6B9AA" w14:textId="598B959B">
            <w:r w:rsidRPr="005D37EB">
              <w:t xml:space="preserve">SEDEC-VII </w:t>
            </w:r>
            <w:r w:rsidRPr="005D37EB" w:rsidR="0038109D">
              <w:t xml:space="preserve">– </w:t>
            </w:r>
            <w:r w:rsidRPr="005D37EB">
              <w:t xml:space="preserve">7th Mandate </w:t>
            </w:r>
            <w:r w:rsidRPr="005D37EB" w:rsidR="0038109D">
              <w:t xml:space="preserve">– </w:t>
            </w:r>
            <w:r w:rsidRPr="005D37EB">
              <w:t>Commission for Social Policy, Education, Employment, Research and Culture (SEDEC)</w:t>
            </w:r>
          </w:p>
        </w:tc>
      </w:tr>
      <w:tr w:rsidRPr="005D37EB" w:rsidR="00483D92" w:rsidTr="00B56289" w14:paraId="5D6642C1" w14:textId="77777777">
        <w:trPr>
          <w:jc w:val="center"/>
        </w:trPr>
        <w:tc>
          <w:tcPr>
            <w:tcW w:w="3848" w:type="dxa"/>
            <w:noWrap/>
          </w:tcPr>
          <w:p w:rsidRPr="005D37EB" w:rsidR="00483D92" w:rsidP="00B56289" w:rsidRDefault="00483D92" w14:paraId="54AB179F" w14:textId="77777777">
            <w:pPr>
              <w:jc w:val="left"/>
              <w:rPr>
                <w:b/>
                <w:bCs/>
              </w:rPr>
            </w:pPr>
            <w:r w:rsidRPr="005D37EB">
              <w:rPr>
                <w:b/>
                <w:bCs/>
              </w:rPr>
              <w:t>Rapporteur</w:t>
            </w:r>
          </w:p>
        </w:tc>
        <w:tc>
          <w:tcPr>
            <w:tcW w:w="5441" w:type="dxa"/>
            <w:noWrap/>
          </w:tcPr>
          <w:p w:rsidRPr="005D37EB" w:rsidR="00483D92" w:rsidP="00B56289" w:rsidRDefault="00483D92" w14:paraId="42B60EE5" w14:textId="5AF72F14">
            <w:r w:rsidRPr="005D37EB">
              <w:t>János Ádám KARÁCSONY (HU/ECR), Vice-President of the County Council of Pest Megye</w:t>
            </w:r>
          </w:p>
        </w:tc>
      </w:tr>
      <w:tr w:rsidRPr="005D37EB" w:rsidR="00483D92" w:rsidTr="00B56289" w14:paraId="516DF56B" w14:textId="77777777">
        <w:trPr>
          <w:jc w:val="center"/>
        </w:trPr>
        <w:tc>
          <w:tcPr>
            <w:tcW w:w="3848" w:type="dxa"/>
            <w:noWrap/>
          </w:tcPr>
          <w:p w:rsidRPr="005D37EB" w:rsidR="00483D92" w:rsidP="00B56289" w:rsidRDefault="00483D92" w14:paraId="371BBE9B" w14:textId="77777777">
            <w:pPr>
              <w:jc w:val="left"/>
              <w:rPr>
                <w:b/>
                <w:bCs/>
              </w:rPr>
            </w:pPr>
            <w:r w:rsidRPr="005D37EB">
              <w:rPr>
                <w:b/>
                <w:bCs/>
              </w:rPr>
              <w:t xml:space="preserve">Discussed in commission </w:t>
            </w:r>
          </w:p>
        </w:tc>
        <w:tc>
          <w:tcPr>
            <w:tcW w:w="5441" w:type="dxa"/>
            <w:noWrap/>
          </w:tcPr>
          <w:p w:rsidRPr="005D37EB" w:rsidR="00483D92" w:rsidP="00B56289" w:rsidRDefault="00483D92" w14:paraId="3E6C07A4" w14:textId="57D5EEF3">
            <w:r w:rsidRPr="005D37EB">
              <w:t>26/4/2024</w:t>
            </w:r>
          </w:p>
        </w:tc>
      </w:tr>
      <w:tr w:rsidRPr="005D37EB" w:rsidR="00483D92" w:rsidTr="00B56289" w14:paraId="17AB2596" w14:textId="77777777">
        <w:trPr>
          <w:jc w:val="center"/>
        </w:trPr>
        <w:tc>
          <w:tcPr>
            <w:tcW w:w="3848" w:type="dxa"/>
            <w:noWrap/>
          </w:tcPr>
          <w:p w:rsidRPr="005D37EB" w:rsidR="00483D92" w:rsidP="00B56289" w:rsidRDefault="00483D92" w14:paraId="026CF7B8" w14:textId="77777777">
            <w:pPr>
              <w:jc w:val="left"/>
              <w:rPr>
                <w:b/>
                <w:bCs/>
              </w:rPr>
            </w:pPr>
            <w:r w:rsidRPr="005D37EB">
              <w:rPr>
                <w:b/>
                <w:bCs/>
              </w:rPr>
              <w:t xml:space="preserve">Date adopted by commission </w:t>
            </w:r>
          </w:p>
        </w:tc>
        <w:tc>
          <w:tcPr>
            <w:tcW w:w="5441" w:type="dxa"/>
            <w:noWrap/>
          </w:tcPr>
          <w:p w:rsidRPr="005D37EB" w:rsidR="00483D92" w:rsidP="00B56289" w:rsidRDefault="00483D92" w14:paraId="29680C43" w14:textId="7038A3E4">
            <w:r w:rsidRPr="005D37EB">
              <w:t>27</w:t>
            </w:r>
            <w:r w:rsidRPr="005D37EB" w:rsidR="001033C8">
              <w:t> </w:t>
            </w:r>
            <w:r w:rsidRPr="005D37EB">
              <w:t>June 2024</w:t>
            </w:r>
          </w:p>
        </w:tc>
      </w:tr>
      <w:tr w:rsidRPr="005D37EB" w:rsidR="00483D92" w:rsidTr="00B56289" w14:paraId="0A2FBC83" w14:textId="77777777">
        <w:trPr>
          <w:jc w:val="center"/>
        </w:trPr>
        <w:tc>
          <w:tcPr>
            <w:tcW w:w="3848" w:type="dxa"/>
            <w:noWrap/>
          </w:tcPr>
          <w:p w:rsidRPr="005D37EB" w:rsidR="00483D92" w:rsidP="00B56289" w:rsidRDefault="00483D92" w14:paraId="1BCD9B4D" w14:textId="77777777">
            <w:pPr>
              <w:jc w:val="left"/>
              <w:rPr>
                <w:b/>
                <w:bCs/>
              </w:rPr>
            </w:pPr>
            <w:r w:rsidRPr="005D37EB">
              <w:rPr>
                <w:b/>
                <w:bCs/>
              </w:rPr>
              <w:t>Result of the vote in commission</w:t>
            </w:r>
          </w:p>
          <w:p w:rsidRPr="005D37EB" w:rsidR="00483D92" w:rsidP="00B56289" w:rsidRDefault="00483D92" w14:paraId="39CB881A" w14:textId="77777777">
            <w:pPr>
              <w:jc w:val="left"/>
              <w:rPr>
                <w:b/>
                <w:bCs/>
              </w:rPr>
            </w:pPr>
            <w:r w:rsidRPr="005D37EB">
              <w:rPr>
                <w:b/>
                <w:bCs/>
              </w:rPr>
              <w:t>(majority, unanimity)</w:t>
            </w:r>
          </w:p>
        </w:tc>
        <w:tc>
          <w:tcPr>
            <w:tcW w:w="5441" w:type="dxa"/>
            <w:noWrap/>
          </w:tcPr>
          <w:p w:rsidRPr="005D37EB" w:rsidR="00483D92" w:rsidP="00B56289" w:rsidRDefault="006E0328" w14:paraId="503130F3" w14:textId="0BC797E6">
            <w:r w:rsidRPr="005D37EB">
              <w:t>majority</w:t>
            </w:r>
          </w:p>
        </w:tc>
      </w:tr>
      <w:tr w:rsidRPr="005D37EB" w:rsidR="00483D92" w:rsidTr="00B56289" w14:paraId="1BF046E6" w14:textId="77777777">
        <w:trPr>
          <w:jc w:val="center"/>
        </w:trPr>
        <w:tc>
          <w:tcPr>
            <w:tcW w:w="3848" w:type="dxa"/>
            <w:noWrap/>
          </w:tcPr>
          <w:p w:rsidRPr="005D37EB" w:rsidR="00483D92" w:rsidP="00B56289" w:rsidRDefault="00483D92" w14:paraId="645FA615" w14:textId="77777777">
            <w:pPr>
              <w:jc w:val="left"/>
              <w:rPr>
                <w:b/>
                <w:bCs/>
              </w:rPr>
            </w:pPr>
            <w:r w:rsidRPr="005D37EB">
              <w:rPr>
                <w:b/>
                <w:bCs/>
              </w:rPr>
              <w:t xml:space="preserve">Date adopted in plenary </w:t>
            </w:r>
          </w:p>
        </w:tc>
        <w:tc>
          <w:tcPr>
            <w:tcW w:w="5441" w:type="dxa"/>
            <w:noWrap/>
          </w:tcPr>
          <w:p w:rsidRPr="005D37EB" w:rsidR="00483D92" w:rsidP="00B56289" w:rsidRDefault="00483D92" w14:paraId="4473722F" w14:textId="1AE99C1F">
            <w:r w:rsidRPr="005D37EB">
              <w:t>9</w:t>
            </w:r>
            <w:r w:rsidRPr="005D37EB" w:rsidR="001033C8">
              <w:t> </w:t>
            </w:r>
            <w:r w:rsidRPr="005D37EB">
              <w:t>October 2024</w:t>
            </w:r>
          </w:p>
        </w:tc>
      </w:tr>
      <w:tr w:rsidRPr="005D37EB" w:rsidR="00483D92" w:rsidTr="00B56289" w14:paraId="5739CF91" w14:textId="77777777">
        <w:trPr>
          <w:jc w:val="center"/>
        </w:trPr>
        <w:tc>
          <w:tcPr>
            <w:tcW w:w="3848" w:type="dxa"/>
            <w:noWrap/>
          </w:tcPr>
          <w:p w:rsidRPr="005D37EB" w:rsidR="00483D92" w:rsidP="00B56289" w:rsidRDefault="00483D92" w14:paraId="6BDCA684" w14:textId="77777777">
            <w:pPr>
              <w:jc w:val="left"/>
              <w:rPr>
                <w:b/>
                <w:bCs/>
              </w:rPr>
            </w:pPr>
            <w:r w:rsidRPr="005D37EB">
              <w:rPr>
                <w:b/>
                <w:bCs/>
              </w:rPr>
              <w:t xml:space="preserve">Previous Committee opinions </w:t>
            </w:r>
          </w:p>
        </w:tc>
        <w:tc>
          <w:tcPr>
            <w:tcW w:w="5441" w:type="dxa"/>
            <w:noWrap/>
          </w:tcPr>
          <w:p w:rsidRPr="003B54C5" w:rsidR="00483D92" w:rsidP="00A4317B" w:rsidRDefault="000B0145" w14:paraId="0AED024E" w14:textId="0F17093D">
            <w:pPr>
              <w:numPr>
                <w:ilvl w:val="0"/>
                <w:numId w:val="5"/>
              </w:numPr>
              <w:spacing w:before="225" w:line="276" w:lineRule="auto"/>
              <w:ind w:left="686" w:hanging="567"/>
              <w:jc w:val="left"/>
            </w:pPr>
            <w:hyperlink r:id="rId20">
              <w:r w:rsidRPr="00B8130A" w:rsidR="00483D92">
                <w:rPr>
                  <w:color w:val="0000EE"/>
                  <w:u w:val="single" w:color="0000EE"/>
                </w:rPr>
                <w:t>A Long-term vision for the EU</w:t>
              </w:r>
              <w:r w:rsidRPr="005D37EB" w:rsidR="006B2199">
                <w:rPr>
                  <w:color w:val="0000EE"/>
                  <w:u w:val="single" w:color="0000EE"/>
                </w:rPr>
                <w:t>’</w:t>
              </w:r>
              <w:r w:rsidRPr="005D37EB" w:rsidR="00483D92">
                <w:rPr>
                  <w:color w:val="0000EE"/>
                  <w:u w:val="single" w:color="0000EE"/>
                </w:rPr>
                <w:t>s rural areas</w:t>
              </w:r>
            </w:hyperlink>
          </w:p>
          <w:p w:rsidRPr="003B54C5" w:rsidR="00483D92" w:rsidP="00A4317B" w:rsidRDefault="000B0145" w14:paraId="417E10A0" w14:textId="3FEA9FB5">
            <w:pPr>
              <w:numPr>
                <w:ilvl w:val="0"/>
                <w:numId w:val="5"/>
              </w:numPr>
              <w:spacing w:line="276" w:lineRule="auto"/>
              <w:ind w:left="686" w:hanging="567"/>
              <w:jc w:val="left"/>
            </w:pPr>
            <w:hyperlink r:id="rId21">
              <w:r w:rsidRPr="00B8130A" w:rsidR="00483D92">
                <w:rPr>
                  <w:color w:val="0000EE"/>
                  <w:u w:val="single" w:color="0000EE"/>
                </w:rPr>
                <w:t>Demographic change: proposals on measuring and tackling its negative effects in the EU regions</w:t>
              </w:r>
            </w:hyperlink>
          </w:p>
          <w:p w:rsidRPr="003B54C5" w:rsidR="00483D92" w:rsidP="00A4317B" w:rsidRDefault="000B0145" w14:paraId="1C509D00" w14:textId="26FDC776">
            <w:pPr>
              <w:numPr>
                <w:ilvl w:val="0"/>
                <w:numId w:val="5"/>
              </w:numPr>
              <w:spacing w:line="276" w:lineRule="auto"/>
              <w:ind w:left="686" w:hanging="567"/>
              <w:jc w:val="left"/>
            </w:pPr>
            <w:hyperlink r:id="rId22">
              <w:r w:rsidRPr="00B8130A" w:rsidR="00483D92">
                <w:rPr>
                  <w:color w:val="0000EE"/>
                  <w:u w:val="single" w:color="0000EE"/>
                </w:rPr>
                <w:t>Brain Drain in the EU: addressing the challenge at all levels</w:t>
              </w:r>
            </w:hyperlink>
          </w:p>
          <w:p w:rsidRPr="003B54C5" w:rsidR="00483D92" w:rsidP="00A4317B" w:rsidRDefault="000B0145" w14:paraId="5BA3B86E" w14:textId="70D9C923">
            <w:pPr>
              <w:numPr>
                <w:ilvl w:val="0"/>
                <w:numId w:val="5"/>
              </w:numPr>
              <w:spacing w:line="276" w:lineRule="auto"/>
              <w:ind w:left="686" w:hanging="567"/>
              <w:jc w:val="left"/>
            </w:pPr>
            <w:hyperlink r:id="rId23">
              <w:r w:rsidRPr="00B8130A" w:rsidR="00483D92">
                <w:rPr>
                  <w:color w:val="0000EE"/>
                  <w:u w:val="single" w:color="0000EE"/>
                </w:rPr>
                <w:t>Active and Healthy Ageing</w:t>
              </w:r>
            </w:hyperlink>
          </w:p>
          <w:p w:rsidRPr="003B54C5" w:rsidR="00483D92" w:rsidP="00A4317B" w:rsidRDefault="000B0145" w14:paraId="32E72CFA" w14:textId="6E064AA9">
            <w:pPr>
              <w:numPr>
                <w:ilvl w:val="0"/>
                <w:numId w:val="5"/>
              </w:numPr>
              <w:spacing w:line="276" w:lineRule="auto"/>
              <w:ind w:left="686" w:hanging="567"/>
              <w:jc w:val="left"/>
            </w:pPr>
            <w:hyperlink r:id="rId24">
              <w:r w:rsidRPr="00B8130A" w:rsidR="00483D92">
                <w:rPr>
                  <w:color w:val="0000EE"/>
                  <w:u w:val="single" w:color="0000EE"/>
                </w:rPr>
                <w:t>Work-life balance for parents and carers</w:t>
              </w:r>
            </w:hyperlink>
          </w:p>
          <w:p w:rsidRPr="003B54C5" w:rsidR="00483D92" w:rsidP="00A4317B" w:rsidRDefault="000B0145" w14:paraId="69B54491" w14:textId="60FD797D">
            <w:pPr>
              <w:numPr>
                <w:ilvl w:val="0"/>
                <w:numId w:val="5"/>
              </w:numPr>
              <w:spacing w:line="276" w:lineRule="auto"/>
              <w:ind w:left="686" w:hanging="567"/>
              <w:jc w:val="left"/>
            </w:pPr>
            <w:hyperlink r:id="rId25">
              <w:r w:rsidRPr="00B8130A" w:rsidR="00483D92">
                <w:rPr>
                  <w:color w:val="0000EE"/>
                  <w:u w:val="single" w:color="0000EE"/>
                </w:rPr>
                <w:t>Territorial classification and typologies</w:t>
              </w:r>
            </w:hyperlink>
          </w:p>
          <w:p w:rsidRPr="003B54C5" w:rsidR="00483D92" w:rsidP="00A4317B" w:rsidRDefault="000B0145" w14:paraId="6A144F08" w14:textId="39C3D6DC">
            <w:pPr>
              <w:numPr>
                <w:ilvl w:val="0"/>
                <w:numId w:val="5"/>
              </w:numPr>
              <w:spacing w:line="276" w:lineRule="auto"/>
              <w:ind w:left="686" w:hanging="567"/>
              <w:jc w:val="left"/>
            </w:pPr>
            <w:hyperlink r:id="rId26">
              <w:r w:rsidRPr="00B8130A" w:rsidR="00483D92">
                <w:rPr>
                  <w:color w:val="0000EE"/>
                  <w:u w:val="single" w:color="0000EE"/>
                </w:rPr>
                <w:t>The EU response to the demographic challenge</w:t>
              </w:r>
            </w:hyperlink>
          </w:p>
          <w:p w:rsidRPr="003B54C5" w:rsidR="00483D92" w:rsidP="00A4317B" w:rsidRDefault="000B0145" w14:paraId="2828D660" w14:textId="617EFE8B">
            <w:pPr>
              <w:numPr>
                <w:ilvl w:val="0"/>
                <w:numId w:val="5"/>
              </w:numPr>
              <w:spacing w:line="276" w:lineRule="auto"/>
              <w:ind w:left="686" w:hanging="567"/>
              <w:jc w:val="left"/>
            </w:pPr>
            <w:hyperlink r:id="rId27">
              <w:r w:rsidRPr="00B8130A" w:rsidR="00483D92">
                <w:rPr>
                  <w:color w:val="0000EE"/>
                  <w:u w:val="single" w:color="0000EE"/>
                </w:rPr>
                <w:t>Active ageing:</w:t>
              </w:r>
              <w:r w:rsidRPr="005D37EB" w:rsidR="00483D92">
                <w:rPr>
                  <w:color w:val="0000EE"/>
                  <w:u w:val="single" w:color="0000EE"/>
                </w:rPr>
                <w:t xml:space="preserve"> innovation </w:t>
              </w:r>
              <w:r w:rsidRPr="005D37EB" w:rsidR="0038109D">
                <w:rPr>
                  <w:color w:val="0000EE"/>
                  <w:u w:val="single" w:color="0000EE"/>
                </w:rPr>
                <w:t xml:space="preserve">– </w:t>
              </w:r>
              <w:r w:rsidRPr="005D37EB" w:rsidR="00483D92">
                <w:rPr>
                  <w:color w:val="0000EE"/>
                  <w:u w:val="single" w:color="0000EE"/>
                </w:rPr>
                <w:t xml:space="preserve">smart health </w:t>
              </w:r>
              <w:r w:rsidRPr="005D37EB" w:rsidR="0038109D">
                <w:rPr>
                  <w:color w:val="0000EE"/>
                  <w:u w:val="single" w:color="0000EE"/>
                </w:rPr>
                <w:t xml:space="preserve">– </w:t>
              </w:r>
              <w:r w:rsidRPr="005D37EB" w:rsidR="00483D92">
                <w:rPr>
                  <w:color w:val="0000EE"/>
                  <w:u w:val="single" w:color="0000EE"/>
                </w:rPr>
                <w:t>better lives</w:t>
              </w:r>
            </w:hyperlink>
          </w:p>
          <w:p w:rsidRPr="003B54C5" w:rsidR="00483D92" w:rsidP="00A4317B" w:rsidRDefault="000B0145" w14:paraId="41B4ED01" w14:textId="5FF814DA">
            <w:pPr>
              <w:numPr>
                <w:ilvl w:val="0"/>
                <w:numId w:val="5"/>
              </w:numPr>
              <w:spacing w:line="276" w:lineRule="auto"/>
              <w:ind w:left="686" w:hanging="567"/>
              <w:jc w:val="left"/>
            </w:pPr>
            <w:hyperlink w:history="1" r:id="rId28">
              <w:r w:rsidRPr="00B8130A" w:rsidR="00483D92">
                <w:rPr>
                  <w:rStyle w:val="Hyperlink"/>
                </w:rPr>
                <w:t>Impact of an ageing population</w:t>
              </w:r>
            </w:hyperlink>
          </w:p>
          <w:p w:rsidRPr="005D37EB" w:rsidR="00483D92" w:rsidP="00B56289" w:rsidRDefault="00483D92" w14:paraId="54F507D1" w14:textId="77777777">
            <w:pPr>
              <w:spacing w:line="276" w:lineRule="auto"/>
              <w:ind w:left="720"/>
              <w:jc w:val="left"/>
            </w:pPr>
          </w:p>
        </w:tc>
      </w:tr>
      <w:tr w:rsidRPr="005D37EB" w:rsidR="00483D92" w:rsidTr="00B56289" w14:paraId="384EA08B" w14:textId="77777777">
        <w:trPr>
          <w:jc w:val="center"/>
        </w:trPr>
        <w:tc>
          <w:tcPr>
            <w:tcW w:w="3848" w:type="dxa"/>
            <w:noWrap/>
          </w:tcPr>
          <w:p w:rsidRPr="005D37EB" w:rsidR="00483D92" w:rsidP="00B56289" w:rsidRDefault="00483D92" w14:paraId="5FDCC411" w14:textId="77777777">
            <w:pPr>
              <w:jc w:val="left"/>
              <w:rPr>
                <w:b/>
                <w:bCs/>
              </w:rPr>
            </w:pPr>
            <w:r w:rsidRPr="005D37EB">
              <w:rPr>
                <w:b/>
                <w:bCs/>
              </w:rPr>
              <w:t>Subsidiarity reference</w:t>
            </w:r>
          </w:p>
        </w:tc>
        <w:tc>
          <w:tcPr>
            <w:tcW w:w="5441" w:type="dxa"/>
            <w:noWrap/>
          </w:tcPr>
          <w:p w:rsidRPr="005D37EB" w:rsidR="00483D92" w:rsidP="00B56289" w:rsidRDefault="00483D92" w14:paraId="335AAA93" w14:textId="77777777">
            <w:r w:rsidRPr="005D37EB">
              <w:t>N/A</w:t>
            </w:r>
          </w:p>
        </w:tc>
      </w:tr>
    </w:tbl>
    <w:p w:rsidRPr="005D37EB" w:rsidR="00483D92" w:rsidP="003A043C" w:rsidRDefault="00483D92" w14:paraId="15110E3C" w14:textId="77777777"/>
    <w:p w:rsidRPr="005D37EB" w:rsidR="00483D92" w:rsidP="00272D8D" w:rsidRDefault="00020F25" w14:paraId="05BD6471" w14:textId="16001FA6">
      <w:pPr>
        <w:jc w:val="center"/>
      </w:pPr>
      <w:r w:rsidRPr="005D37EB">
        <w:t>_____________</w:t>
      </w:r>
    </w:p>
    <w:sectPr w:rsidRPr="005D37EB" w:rsidR="00483D92" w:rsidSect="001B28F7">
      <w:headerReference w:type="even" r:id="rId29"/>
      <w:headerReference w:type="default" r:id="rId30"/>
      <w:footerReference w:type="even" r:id="rId31"/>
      <w:footerReference w:type="default" r:id="rId32"/>
      <w:headerReference w:type="first" r:id="rId33"/>
      <w:footerReference w:type="first" r:id="rId3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865" w:rsidRDefault="001D7865" w14:paraId="7DAC88FC" w14:textId="77777777">
      <w:r>
        <w:separator/>
      </w:r>
    </w:p>
  </w:endnote>
  <w:endnote w:type="continuationSeparator" w:id="0">
    <w:p w:rsidR="001D7865" w:rsidRDefault="001D7865" w14:paraId="0B17AE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B28F7" w:rsidR="001B28F7" w:rsidP="001B28F7" w:rsidRDefault="001B28F7" w14:paraId="201A5C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B28F7" w:rsidR="006D78CA" w:rsidP="001B28F7" w:rsidRDefault="001B28F7" w14:paraId="08740033" w14:textId="449442FB">
    <w:pPr>
      <w:pStyle w:val="Footer"/>
    </w:pPr>
    <w:r>
      <w:t xml:space="preserve">COR-2024-01173-00-00-AC-TRA (EN) </w:t>
    </w:r>
    <w:r>
      <w:fldChar w:fldCharType="begin"/>
    </w:r>
    <w:r>
      <w:instrText xml:space="preserve"> PAGE  \* Arabic  \* MERGEFORMAT </w:instrText>
    </w:r>
    <w:r>
      <w:fldChar w:fldCharType="separate"/>
    </w:r>
    <w:r w:rsidR="00391FBF">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391FBF">
      <w:rPr>
        <w:noProof/>
      </w:rPr>
      <w:instrText>1</w:instrText>
    </w:r>
    <w:r>
      <w:fldChar w:fldCharType="end"/>
    </w:r>
    <w:r>
      <w:instrText xml:space="preserve"> -0 </w:instrText>
    </w:r>
    <w:r>
      <w:fldChar w:fldCharType="separate"/>
    </w:r>
    <w:r w:rsidR="00391FB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B28F7" w:rsidR="001B28F7" w:rsidP="001B28F7" w:rsidRDefault="001B28F7" w14:paraId="29F0B0E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B28F7" w:rsidR="00842991" w:rsidP="001B28F7" w:rsidRDefault="00842991" w14:paraId="7685E9D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B28F7" w:rsidR="00C92410" w:rsidP="001B28F7" w:rsidRDefault="001B28F7" w14:paraId="474EEEC2" w14:textId="49FE099A">
    <w:pPr>
      <w:pStyle w:val="Footer"/>
    </w:pPr>
    <w:r>
      <w:t xml:space="preserve">COR-2024-01173-00-00-AC-TRA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r>
      <w:fldChar w:fldCharType="begin"/>
    </w:r>
    <w:r>
      <w:instrText xml:space="preserve"> NUMPAGES </w:instrText>
    </w:r>
    <w:r>
      <w:fldChar w:fldCharType="separate"/>
    </w:r>
    <w:r w:rsidR="00676068">
      <w:rPr>
        <w:noProof/>
      </w:rPr>
      <w:instrText>2</w:instrText>
    </w:r>
    <w:r>
      <w:fldChar w:fldCharType="end"/>
    </w:r>
    <w:r>
      <w:instrText xml:space="preserve"> -0 </w:instrText>
    </w:r>
    <w:r>
      <w:fldChar w:fldCharType="separate"/>
    </w:r>
    <w:r w:rsidR="00676068">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B28F7" w:rsidR="00C92410" w:rsidP="001B28F7" w:rsidRDefault="00C92410" w14:paraId="525DA5B7" w14:textId="19CA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865" w:rsidRDefault="001D7865" w14:paraId="182EA884" w14:textId="77777777">
      <w:r>
        <w:separator/>
      </w:r>
    </w:p>
  </w:footnote>
  <w:footnote w:type="continuationSeparator" w:id="0">
    <w:p w:rsidR="001D7865" w:rsidRDefault="001D7865" w14:paraId="130EB402" w14:textId="77777777">
      <w:r>
        <w:continuationSeparator/>
      </w:r>
    </w:p>
  </w:footnote>
  <w:footnote w:id="1">
    <w:p w:rsidRPr="00A4317B" w:rsidR="007A2114" w:rsidRDefault="007A2114" w14:paraId="07AE32DD" w14:textId="2C7066F2">
      <w:pPr>
        <w:pStyle w:val="FootnoteText"/>
        <w:rPr>
          <w:lang w:val="fr-BE"/>
        </w:rPr>
      </w:pPr>
      <w:r w:rsidRPr="007A2114">
        <w:rPr>
          <w:rStyle w:val="FootnoteReference"/>
        </w:rPr>
        <w:footnoteRef/>
      </w:r>
      <w:r w:rsidRPr="007A2114">
        <w:tab/>
      </w:r>
      <w:hyperlink w:history="1" r:id="rId1">
        <w:r w:rsidRPr="008264FC" w:rsidR="00E72A13">
          <w:rPr>
            <w:rStyle w:val="Hyperlink"/>
          </w:rPr>
          <w:t>https://ec.europa.eu/eurostat/statistics-explained/index.php?title=Migration_and_migrant_population_statistics</w:t>
        </w:r>
      </w:hyperlink>
      <w:r w:rsidR="00E72A13">
        <w:t>.</w:t>
      </w:r>
    </w:p>
  </w:footnote>
  <w:footnote w:id="2">
    <w:p w:rsidRPr="006B2199" w:rsidR="00D43348" w:rsidP="00BC75D7" w:rsidRDefault="00D43348" w14:paraId="03591FC7" w14:textId="172C8BB4">
      <w:pPr>
        <w:pStyle w:val="FootnoteText"/>
      </w:pPr>
      <w:r w:rsidRPr="006B2199">
        <w:rPr>
          <w:rStyle w:val="FootnoteReference"/>
        </w:rPr>
        <w:footnoteRef/>
      </w:r>
      <w:r w:rsidR="0063399C">
        <w:tab/>
      </w:r>
      <w:hyperlink w:history="1" r:id="rId2">
        <w:r w:rsidRPr="006B2199">
          <w:rPr>
            <w:rStyle w:val="Hyperlink"/>
          </w:rPr>
          <w:t>Communication, Harnessing talent in Europe</w:t>
        </w:r>
        <w:r w:rsidR="006B2199">
          <w:rPr>
            <w:rStyle w:val="Hyperlink"/>
          </w:rPr>
          <w:t>’</w:t>
        </w:r>
        <w:r w:rsidRPr="006B2199">
          <w:rPr>
            <w:rStyle w:val="Hyperlink"/>
          </w:rPr>
          <w:t>s regions</w:t>
        </w:r>
      </w:hyperlink>
      <w:r w:rsidRPr="006B2199">
        <w:t>, point</w:t>
      </w:r>
      <w:r w:rsidR="008A75FA">
        <w:t> </w:t>
      </w:r>
      <w:r w:rsidRPr="006B2199">
        <w:t>2.3.</w:t>
      </w:r>
    </w:p>
  </w:footnote>
  <w:footnote w:id="3">
    <w:p w:rsidRPr="006B2199" w:rsidR="00D43348" w:rsidP="00BC75D7" w:rsidRDefault="00D43348" w14:paraId="0D24B91D" w14:textId="44987171">
      <w:pPr>
        <w:pStyle w:val="FootnoteText"/>
      </w:pPr>
      <w:r w:rsidRPr="006B2199">
        <w:rPr>
          <w:rStyle w:val="FootnoteReference"/>
        </w:rPr>
        <w:footnoteRef/>
      </w:r>
      <w:r w:rsidR="0063399C">
        <w:tab/>
      </w:r>
      <w:hyperlink w:history="1" r:id="rId3">
        <w:r w:rsidRPr="006B2199">
          <w:rPr>
            <w:rStyle w:val="Hyperlink"/>
          </w:rPr>
          <w:t>Impact of demographic change</w:t>
        </w:r>
      </w:hyperlink>
      <w:r w:rsidRPr="006B2199">
        <w:t>, page</w:t>
      </w:r>
      <w:r w:rsidR="008A75FA">
        <w:t> </w:t>
      </w:r>
      <w:r w:rsidRPr="006B2199">
        <w:t>8.</w:t>
      </w:r>
    </w:p>
  </w:footnote>
  <w:footnote w:id="4">
    <w:p w:rsidRPr="006B2199" w:rsidR="00D43348" w:rsidP="00BC75D7" w:rsidRDefault="00D43348" w14:paraId="6C6E2D66" w14:textId="52066089">
      <w:pPr>
        <w:pStyle w:val="FootnoteText"/>
      </w:pPr>
      <w:r w:rsidRPr="006B2199">
        <w:rPr>
          <w:rStyle w:val="FootnoteReference"/>
        </w:rPr>
        <w:footnoteRef/>
      </w:r>
      <w:r w:rsidR="0063399C">
        <w:tab/>
      </w:r>
      <w:hyperlink w:history="1" r:id="rId4">
        <w:r w:rsidRPr="006B2199">
          <w:rPr>
            <w:rStyle w:val="Hyperlink"/>
          </w:rPr>
          <w:t>Demography report</w:t>
        </w:r>
      </w:hyperlink>
      <w:r w:rsidRPr="006B2199">
        <w:t xml:space="preserve"> 2023, page</w:t>
      </w:r>
      <w:r w:rsidR="008A75FA">
        <w:t> </w:t>
      </w:r>
      <w:r w:rsidRPr="006B2199">
        <w:t>6.</w:t>
      </w:r>
    </w:p>
  </w:footnote>
  <w:footnote w:id="5">
    <w:p w:rsidRPr="006B2199" w:rsidR="00D43348" w:rsidP="00BC75D7" w:rsidRDefault="00D43348" w14:paraId="59D09512" w14:textId="59B2547D">
      <w:pPr>
        <w:pStyle w:val="FootnoteText"/>
      </w:pPr>
      <w:r w:rsidRPr="006B2199">
        <w:rPr>
          <w:rStyle w:val="FootnoteReference"/>
        </w:rPr>
        <w:footnoteRef/>
      </w:r>
      <w:r w:rsidR="0063399C">
        <w:tab/>
      </w:r>
      <w:hyperlink w:history="1" r:id="rId5">
        <w:r w:rsidRPr="006B2199">
          <w:rPr>
            <w:rStyle w:val="Hyperlink"/>
          </w:rPr>
          <w:t>Eurostat 2022</w:t>
        </w:r>
      </w:hyperlink>
      <w:r w:rsidRPr="006B2199">
        <w:t>.</w:t>
      </w:r>
    </w:p>
  </w:footnote>
  <w:footnote w:id="6">
    <w:p w:rsidRPr="006B2199" w:rsidR="00D43348" w:rsidP="00BC75D7" w:rsidRDefault="00D43348" w14:paraId="31F3A67C" w14:textId="69EE78CE">
      <w:pPr>
        <w:pStyle w:val="FootnoteText"/>
      </w:pPr>
      <w:r w:rsidRPr="006B2199">
        <w:rPr>
          <w:rStyle w:val="FootnoteReference"/>
        </w:rPr>
        <w:footnoteRef/>
      </w:r>
      <w:r w:rsidR="0063399C">
        <w:tab/>
      </w:r>
      <w:hyperlink w:history="1" r:id="rId6">
        <w:r w:rsidRPr="006B2199">
          <w:rPr>
            <w:rStyle w:val="Hyperlink"/>
          </w:rPr>
          <w:t>Demography report</w:t>
        </w:r>
      </w:hyperlink>
      <w:r w:rsidRPr="006B2199">
        <w:t xml:space="preserve"> 2023, page</w:t>
      </w:r>
      <w:r w:rsidR="008A75FA">
        <w:t> </w:t>
      </w:r>
      <w:r w:rsidRPr="006B2199">
        <w:t>12.</w:t>
      </w:r>
    </w:p>
  </w:footnote>
  <w:footnote w:id="7">
    <w:p w:rsidRPr="006B2199" w:rsidR="00D43348" w:rsidP="00BC75D7" w:rsidRDefault="00D43348" w14:paraId="6B46BFCE" w14:textId="3B15A40B">
      <w:pPr>
        <w:pStyle w:val="FootnoteText"/>
      </w:pPr>
      <w:r w:rsidRPr="006B2199">
        <w:rPr>
          <w:rStyle w:val="FootnoteReference"/>
        </w:rPr>
        <w:footnoteRef/>
      </w:r>
      <w:r w:rsidR="0063399C">
        <w:tab/>
      </w:r>
      <w:hyperlink w:history="1" r:id="rId7">
        <w:r w:rsidRPr="006B2199">
          <w:rPr>
            <w:rStyle w:val="Hyperlink"/>
          </w:rPr>
          <w:t>Demography Toolbox for action</w:t>
        </w:r>
      </w:hyperlink>
      <w:r w:rsidRPr="006B2199">
        <w:t>, point</w:t>
      </w:r>
      <w:r w:rsidR="008A75FA">
        <w:t> </w:t>
      </w:r>
      <w:r w:rsidRPr="006B2199">
        <w:t>3.1.</w:t>
      </w:r>
    </w:p>
  </w:footnote>
  <w:footnote w:id="8">
    <w:p w:rsidRPr="006B2199" w:rsidR="00D43348" w:rsidP="00BC75D7" w:rsidRDefault="00D43348" w14:paraId="14393D19" w14:textId="52063746">
      <w:pPr>
        <w:pStyle w:val="FootnoteText"/>
      </w:pPr>
      <w:r w:rsidRPr="006B2199">
        <w:rPr>
          <w:rStyle w:val="FootnoteReference"/>
        </w:rPr>
        <w:footnoteRef/>
      </w:r>
      <w:r w:rsidR="0063399C">
        <w:tab/>
      </w:r>
      <w:hyperlink w:history="1" w:anchor="To_what_extent_are_young_adults_neither_in_employment_nor_in_education_or_training.3F_The_transition_from_education_to_work" r:id="rId8">
        <w:r w:rsidRPr="006B2199">
          <w:rPr>
            <w:rStyle w:val="Hyperlink"/>
          </w:rPr>
          <w:t>Eurostat 2023</w:t>
        </w:r>
      </w:hyperlink>
      <w:r w:rsidRPr="006B2199">
        <w:t>.</w:t>
      </w:r>
    </w:p>
  </w:footnote>
  <w:footnote w:id="9">
    <w:p w:rsidRPr="006B2199" w:rsidR="00D43348" w:rsidP="00BC75D7" w:rsidRDefault="00D43348" w14:paraId="72E993EA" w14:textId="707C2CC9">
      <w:pPr>
        <w:pStyle w:val="FootnoteText"/>
      </w:pPr>
      <w:r w:rsidRPr="006B2199">
        <w:rPr>
          <w:rStyle w:val="FootnoteReference"/>
        </w:rPr>
        <w:footnoteRef/>
      </w:r>
      <w:r w:rsidR="00017544">
        <w:tab/>
      </w:r>
      <w:hyperlink w:history="1" r:id="rId9">
        <w:r w:rsidRPr="006B2199">
          <w:rPr>
            <w:rStyle w:val="Hyperlink"/>
          </w:rPr>
          <w:t>Youth Guarantee (COR opinion 2020)</w:t>
        </w:r>
      </w:hyperlink>
      <w:r w:rsidRPr="00BC75D7" w:rsidR="00E91DA8">
        <w:t>.</w:t>
      </w:r>
    </w:p>
  </w:footnote>
  <w:footnote w:id="10">
    <w:p w:rsidRPr="006B2199" w:rsidR="00D43348" w:rsidP="00BC75D7" w:rsidRDefault="00D43348" w14:paraId="05DC5BD1" w14:textId="38ADCEE0">
      <w:pPr>
        <w:pStyle w:val="FootnoteText"/>
      </w:pPr>
      <w:r w:rsidRPr="006B2199">
        <w:rPr>
          <w:rStyle w:val="FootnoteReference"/>
        </w:rPr>
        <w:footnoteRef/>
      </w:r>
      <w:r w:rsidR="00017544">
        <w:tab/>
      </w:r>
      <w:hyperlink w:history="1" r:id="rId10">
        <w:r w:rsidRPr="006B2199">
          <w:rPr>
            <w:rStyle w:val="Hyperlink"/>
          </w:rPr>
          <w:t>Demography Toolbox for action</w:t>
        </w:r>
      </w:hyperlink>
      <w:r w:rsidRPr="006B2199">
        <w:t>, point</w:t>
      </w:r>
      <w:r w:rsidR="008A75FA">
        <w:t> </w:t>
      </w:r>
      <w:r w:rsidRPr="006B2199">
        <w:t>2.</w:t>
      </w:r>
    </w:p>
  </w:footnote>
  <w:footnote w:id="11">
    <w:p w:rsidRPr="006B2199" w:rsidR="00D43348" w:rsidP="00BC75D7" w:rsidRDefault="00D43348" w14:paraId="3418AD7E" w14:textId="615DF84A">
      <w:pPr>
        <w:pStyle w:val="FootnoteText"/>
      </w:pPr>
      <w:r w:rsidRPr="006B2199">
        <w:rPr>
          <w:rStyle w:val="FootnoteReference"/>
        </w:rPr>
        <w:footnoteRef/>
      </w:r>
      <w:r w:rsidR="00017544">
        <w:tab/>
      </w:r>
      <w:hyperlink w:history="1" r:id="rId11">
        <w:r w:rsidRPr="006B2199">
          <w:rPr>
            <w:rStyle w:val="Hyperlink"/>
          </w:rPr>
          <w:t xml:space="preserve">Active and healthy ageing (COR </w:t>
        </w:r>
        <w:r w:rsidR="00E91DA8">
          <w:rPr>
            <w:rStyle w:val="Hyperlink"/>
          </w:rPr>
          <w:t>o</w:t>
        </w:r>
        <w:r w:rsidRPr="006B2199">
          <w:rPr>
            <w:rStyle w:val="Hyperlink"/>
          </w:rPr>
          <w:t>pinion 2020)</w:t>
        </w:r>
      </w:hyperlink>
      <w:r w:rsidRPr="00BC75D7" w:rsidR="00E91DA8">
        <w:t>.</w:t>
      </w:r>
    </w:p>
  </w:footnote>
  <w:footnote w:id="12">
    <w:p w:rsidRPr="006B2199" w:rsidR="00D43348" w:rsidP="00BC75D7" w:rsidRDefault="00D43348" w14:paraId="31C490CB" w14:textId="5F20476C">
      <w:pPr>
        <w:pStyle w:val="FootnoteText"/>
      </w:pPr>
      <w:r w:rsidRPr="006B2199">
        <w:rPr>
          <w:rStyle w:val="FootnoteReference"/>
        </w:rPr>
        <w:footnoteRef/>
      </w:r>
      <w:r w:rsidR="00017544">
        <w:tab/>
      </w:r>
      <w:hyperlink w:history="1" r:id="rId12">
        <w:r w:rsidRPr="006B2199">
          <w:rPr>
            <w:rStyle w:val="Hyperlink"/>
          </w:rPr>
          <w:t>Brain Drain in the EU: addressing the challenge at all levels (COR opinion 2020)</w:t>
        </w:r>
      </w:hyperlink>
      <w:r w:rsidRPr="00842991" w:rsidR="00E91DA8">
        <w:t>.</w:t>
      </w:r>
    </w:p>
  </w:footnote>
  <w:footnote w:id="13">
    <w:p w:rsidRPr="006B2199" w:rsidR="00D43348" w:rsidP="00BC75D7" w:rsidRDefault="00D43348" w14:paraId="5CF3834D" w14:textId="7460F68A">
      <w:pPr>
        <w:pStyle w:val="FootnoteText"/>
      </w:pPr>
      <w:r w:rsidRPr="006B2199">
        <w:rPr>
          <w:rStyle w:val="FootnoteReference"/>
        </w:rPr>
        <w:footnoteRef/>
      </w:r>
      <w:r w:rsidR="00017544">
        <w:tab/>
      </w:r>
      <w:hyperlink w:history="1" r:id="rId13">
        <w:r w:rsidRPr="006B2199">
          <w:rPr>
            <w:rStyle w:val="Hyperlink"/>
          </w:rPr>
          <w:t>Enrico Letta Report (2024)</w:t>
        </w:r>
      </w:hyperlink>
      <w:r w:rsidRPr="006B2199">
        <w:t xml:space="preserve"> </w:t>
      </w:r>
      <w:r w:rsidRPr="00BC75D7">
        <w:rPr>
          <w:i/>
          <w:iCs/>
        </w:rPr>
        <w:t>Much more than a market, Speed, Security, Solidarity, Empowering the Single Market to deliver a sustainable future and prosperity for all EU Citizen</w:t>
      </w:r>
      <w:r w:rsidRPr="00BC75D7" w:rsidR="00E91DA8">
        <w:rPr>
          <w:i/>
          <w:iCs/>
        </w:rPr>
        <w:t>s</w:t>
      </w:r>
      <w:r w:rsidRPr="006B2199">
        <w:t>.</w:t>
      </w:r>
    </w:p>
  </w:footnote>
  <w:footnote w:id="14">
    <w:p w:rsidRPr="006B2199" w:rsidR="00D43348" w:rsidP="00BC75D7" w:rsidRDefault="00D43348" w14:paraId="05010CB9" w14:textId="4D06D7B4">
      <w:pPr>
        <w:pStyle w:val="FootnoteText"/>
      </w:pPr>
      <w:r w:rsidRPr="006B2199">
        <w:rPr>
          <w:rStyle w:val="FootnoteReference"/>
        </w:rPr>
        <w:footnoteRef/>
      </w:r>
      <w:r w:rsidR="003E50A4">
        <w:tab/>
      </w:r>
      <w:hyperlink w:history="1" r:id="rId14">
        <w:r w:rsidRPr="006B2199">
          <w:rPr>
            <w:rStyle w:val="Hyperlink"/>
          </w:rPr>
          <w:t>Demographic change 2020 C</w:t>
        </w:r>
        <w:r w:rsidR="009944E5">
          <w:rPr>
            <w:rStyle w:val="Hyperlink"/>
          </w:rPr>
          <w:t>o</w:t>
        </w:r>
        <w:r w:rsidRPr="006B2199">
          <w:rPr>
            <w:rStyle w:val="Hyperlink"/>
          </w:rPr>
          <w:t xml:space="preserve">R </w:t>
        </w:r>
        <w:r w:rsidR="009944E5">
          <w:rPr>
            <w:rStyle w:val="Hyperlink"/>
          </w:rPr>
          <w:t>o</w:t>
        </w:r>
        <w:r w:rsidRPr="006B2199">
          <w:rPr>
            <w:rStyle w:val="Hyperlink"/>
          </w:rPr>
          <w:t>pinion</w:t>
        </w:r>
      </w:hyperlink>
      <w:r w:rsidRPr="006B2199">
        <w:t>, point</w:t>
      </w:r>
      <w:r w:rsidR="00435465">
        <w:t> </w:t>
      </w:r>
      <w:r w:rsidRPr="006B2199">
        <w:t>16.</w:t>
      </w:r>
    </w:p>
  </w:footnote>
  <w:footnote w:id="15">
    <w:p w:rsidRPr="006B2199" w:rsidR="00DD42BE" w:rsidP="00DD42BE" w:rsidRDefault="00DD42BE" w14:paraId="593A20D0" w14:textId="7FEFCF23">
      <w:pPr>
        <w:pStyle w:val="FootnoteText"/>
      </w:pPr>
      <w:r w:rsidRPr="006B2199">
        <w:rPr>
          <w:rStyle w:val="FootnoteReference"/>
        </w:rPr>
        <w:footnoteRef/>
      </w:r>
      <w:r>
        <w:tab/>
      </w:r>
      <w:hyperlink w:history="1" r:id="rId15">
        <w:r w:rsidRPr="006B2199">
          <w:rPr>
            <w:rStyle w:val="Hyperlink"/>
          </w:rPr>
          <w:t>Demography Toolbox for action</w:t>
        </w:r>
      </w:hyperlink>
      <w:r w:rsidRPr="006B2199">
        <w:t>.</w:t>
      </w:r>
    </w:p>
  </w:footnote>
  <w:footnote w:id="16">
    <w:p w:rsidRPr="006B2199" w:rsidR="00D43348" w:rsidP="00AD53A2" w:rsidRDefault="00D43348" w14:paraId="21B1E60F" w14:textId="5AD7CA55">
      <w:pPr>
        <w:pStyle w:val="FootnoteText"/>
      </w:pPr>
      <w:r w:rsidRPr="006B2199">
        <w:rPr>
          <w:rStyle w:val="FootnoteReference"/>
        </w:rPr>
        <w:footnoteRef/>
      </w:r>
      <w:r w:rsidR="003E50A4">
        <w:tab/>
      </w:r>
      <w:hyperlink w:history="1" r:id="rId16">
        <w:r w:rsidRPr="006B2199">
          <w:rPr>
            <w:rStyle w:val="Hyperlink"/>
          </w:rPr>
          <w:t>General Affairs Council Conclusions on managing demographic change in Europe</w:t>
        </w:r>
      </w:hyperlink>
      <w:r w:rsidRPr="006B2199">
        <w:t>, 12</w:t>
      </w:r>
      <w:r w:rsidR="003E50A4">
        <w:t> </w:t>
      </w:r>
      <w:r w:rsidRPr="006B2199">
        <w:t>December 2023, point</w:t>
      </w:r>
      <w:r w:rsidR="00435465">
        <w:t> </w:t>
      </w:r>
      <w:r w:rsidRPr="006B2199">
        <w:t>4.</w:t>
      </w:r>
    </w:p>
  </w:footnote>
  <w:footnote w:id="17">
    <w:p w:rsidRPr="00A4317B" w:rsidR="00417692" w:rsidP="00A4317B" w:rsidRDefault="00417692" w14:paraId="4DF6E6FA" w14:textId="7329BE17">
      <w:pPr>
        <w:pStyle w:val="FootnoteText"/>
        <w:ind w:hanging="578"/>
        <w:rPr>
          <w:lang w:val="fr-BE"/>
        </w:rPr>
      </w:pPr>
      <w:r>
        <w:rPr>
          <w:rStyle w:val="FootnoteReference"/>
        </w:rPr>
        <w:footnoteRef/>
      </w:r>
      <w:r w:rsidR="00AD53A2">
        <w:tab/>
      </w:r>
      <w:r w:rsidRPr="00A4317B">
        <w:rPr>
          <w:rStyle w:val="Hyperlink"/>
        </w:rPr>
        <w:t>SOC/796 – EESC-2024-00523</w:t>
      </w:r>
      <w:r w:rsidR="00AD53A2">
        <w:rPr>
          <w:rStyle w:val="Hyperlink"/>
        </w:rPr>
        <w:t>.</w:t>
      </w:r>
    </w:p>
  </w:footnote>
  <w:footnote w:id="18">
    <w:p w:rsidRPr="006B2199" w:rsidR="00D43348" w:rsidP="00AD53A2" w:rsidRDefault="00D43348" w14:paraId="0D33D3B4" w14:textId="4E54CD1F">
      <w:pPr>
        <w:pStyle w:val="FootnoteText"/>
      </w:pPr>
      <w:r w:rsidRPr="006B2199">
        <w:rPr>
          <w:rStyle w:val="FootnoteReference"/>
        </w:rPr>
        <w:footnoteRef/>
      </w:r>
      <w:r w:rsidR="003E50A4">
        <w:tab/>
      </w:r>
      <w:hyperlink w:history="1" r:id="rId17">
        <w:r w:rsidRPr="006B2199">
          <w:rPr>
            <w:rStyle w:val="Hyperlink"/>
          </w:rPr>
          <w:t>European Council Conclusions 29-30 June 2023</w:t>
        </w:r>
      </w:hyperlink>
      <w:r w:rsidRPr="006B2199">
        <w:t>, point</w:t>
      </w:r>
      <w:r w:rsidR="00435465">
        <w:t> </w:t>
      </w:r>
      <w:r w:rsidRPr="006B2199">
        <w:t>18</w:t>
      </w:r>
      <w:r w:rsidR="009944E5">
        <w:t>(</w:t>
      </w:r>
      <w:r w:rsidRPr="006B2199">
        <w:t>g</w:t>
      </w:r>
      <w:r w:rsidR="009944E5">
        <w:t>).</w:t>
      </w:r>
    </w:p>
  </w:footnote>
  <w:footnote w:id="19">
    <w:p w:rsidRPr="006B2199" w:rsidR="003A4098" w:rsidP="00F123FA" w:rsidRDefault="003A4098" w14:paraId="2C4F6228" w14:textId="236E678D">
      <w:pPr>
        <w:pStyle w:val="FootnoteText"/>
      </w:pPr>
      <w:r w:rsidRPr="006B2199">
        <w:rPr>
          <w:rStyle w:val="FootnoteReference"/>
        </w:rPr>
        <w:footnoteRef/>
      </w:r>
      <w:r w:rsidR="00715B82">
        <w:tab/>
      </w:r>
      <w:r w:rsidRPr="006B2199">
        <w:t>COUNCIL RECOMMENDATION of 8</w:t>
      </w:r>
      <w:r w:rsidR="00F123FA">
        <w:t> </w:t>
      </w:r>
      <w:r w:rsidRPr="006B2199">
        <w:t>December 2022 on access to affordable high-quality long-term care (2022/C 476/01).</w:t>
      </w:r>
    </w:p>
  </w:footnote>
  <w:footnote w:id="20">
    <w:p w:rsidRPr="006B2199" w:rsidR="003A4098" w:rsidP="00F123FA" w:rsidRDefault="003A4098" w14:paraId="7C7561A8" w14:textId="6D3778A9">
      <w:pPr>
        <w:pStyle w:val="FootnoteText"/>
      </w:pPr>
      <w:r w:rsidRPr="006B2199">
        <w:rPr>
          <w:rStyle w:val="FootnoteReference"/>
        </w:rPr>
        <w:footnoteRef/>
      </w:r>
      <w:r w:rsidR="00715B82">
        <w:tab/>
      </w:r>
      <w:hyperlink w:history="1" r:id="rId18">
        <w:r w:rsidRPr="006B2199">
          <w:rPr>
            <w:rStyle w:val="Hyperlink"/>
          </w:rPr>
          <w:t>Demography Toolbox for action</w:t>
        </w:r>
      </w:hyperlink>
      <w:r w:rsidRPr="006B2199">
        <w:t>, point</w:t>
      </w:r>
      <w:r w:rsidR="009C7E35">
        <w:t> </w:t>
      </w:r>
      <w:r w:rsidRPr="006B2199">
        <w:t>3.1.</w:t>
      </w:r>
    </w:p>
  </w:footnote>
  <w:footnote w:id="21">
    <w:p w:rsidRPr="006B2199" w:rsidR="003A4098" w:rsidP="00F123FA" w:rsidRDefault="003A4098" w14:paraId="3E307506" w14:textId="1B0002D5">
      <w:pPr>
        <w:pStyle w:val="FootnoteText"/>
      </w:pPr>
      <w:r w:rsidRPr="006B2199">
        <w:rPr>
          <w:rStyle w:val="FootnoteReference"/>
        </w:rPr>
        <w:footnoteRef/>
      </w:r>
      <w:r w:rsidR="00715B82">
        <w:tab/>
      </w:r>
      <w:r w:rsidRPr="006B2199">
        <w:t>Council Recommendation of 8</w:t>
      </w:r>
      <w:r w:rsidR="009E6C60">
        <w:t> </w:t>
      </w:r>
      <w:r w:rsidRPr="006B2199">
        <w:t>December 2022 on early childhood education and care: the Barcelona targets for 2030 2022/C 484/01.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B28F7" w:rsidR="001B28F7" w:rsidP="001B28F7" w:rsidRDefault="001B28F7" w14:paraId="2004BB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B28F7" w:rsidR="001B28F7" w:rsidP="001B28F7" w:rsidRDefault="001B28F7" w14:paraId="3D1772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B28F7" w:rsidR="001B28F7" w:rsidP="001B28F7" w:rsidRDefault="001B28F7" w14:paraId="51B0948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B28F7" w:rsidR="00842991" w:rsidP="001B28F7" w:rsidRDefault="00842991" w14:paraId="72E395C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B28F7" w:rsidR="00842991" w:rsidP="001B28F7" w:rsidRDefault="00842991" w14:paraId="20B0F52F" w14:textId="4468D8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B28F7" w:rsidR="00842991" w:rsidP="001B28F7" w:rsidRDefault="00842991" w14:paraId="0ED453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04D0DF2"/>
    <w:multiLevelType w:val="hybridMultilevel"/>
    <w:tmpl w:val="6EB82686"/>
    <w:lvl w:ilvl="0" w:tplc="6BE49F9E">
      <w:start w:val="1"/>
      <w:numFmt w:val="bullet"/>
      <w:lvlText w:val=""/>
      <w:lvlJc w:val="left"/>
      <w:pPr>
        <w:ind w:left="1080" w:hanging="360"/>
      </w:pPr>
      <w:rPr>
        <w:rFonts w:ascii="Symbol" w:eastAsia="Symbol" w:hAnsi="Symbol" w:cs="Symbol"/>
      </w:rPr>
    </w:lvl>
    <w:lvl w:ilvl="1" w:tplc="DBFA8270">
      <w:start w:val="1"/>
      <w:numFmt w:val="bullet"/>
      <w:lvlText w:val="o"/>
      <w:lvlJc w:val="left"/>
      <w:pPr>
        <w:ind w:left="1800" w:hanging="360"/>
      </w:pPr>
      <w:rPr>
        <w:rFonts w:ascii="Courier New" w:eastAsia="Courier New" w:hAnsi="Courier New" w:cs="Courier New"/>
      </w:rPr>
    </w:lvl>
    <w:lvl w:ilvl="2" w:tplc="6F8827B8">
      <w:start w:val="1"/>
      <w:numFmt w:val="bullet"/>
      <w:lvlText w:val=""/>
      <w:lvlJc w:val="left"/>
      <w:pPr>
        <w:ind w:left="2520" w:hanging="360"/>
      </w:pPr>
      <w:rPr>
        <w:rFonts w:ascii="Wingdings" w:eastAsia="Wingdings" w:hAnsi="Wingdings" w:cs="Wingdings"/>
      </w:rPr>
    </w:lvl>
    <w:lvl w:ilvl="3" w:tplc="3BCC9320">
      <w:start w:val="1"/>
      <w:numFmt w:val="bullet"/>
      <w:lvlText w:val=""/>
      <w:lvlJc w:val="left"/>
      <w:pPr>
        <w:ind w:left="3240" w:hanging="360"/>
      </w:pPr>
      <w:rPr>
        <w:rFonts w:ascii="Symbol" w:eastAsia="Symbol" w:hAnsi="Symbol" w:cs="Symbol"/>
      </w:rPr>
    </w:lvl>
    <w:lvl w:ilvl="4" w:tplc="BA8407F6">
      <w:start w:val="1"/>
      <w:numFmt w:val="bullet"/>
      <w:lvlText w:val="o"/>
      <w:lvlJc w:val="left"/>
      <w:pPr>
        <w:ind w:left="3960" w:hanging="360"/>
      </w:pPr>
      <w:rPr>
        <w:rFonts w:ascii="Courier New" w:eastAsia="Courier New" w:hAnsi="Courier New" w:cs="Courier New"/>
      </w:rPr>
    </w:lvl>
    <w:lvl w:ilvl="5" w:tplc="D5BC4364">
      <w:start w:val="1"/>
      <w:numFmt w:val="bullet"/>
      <w:lvlText w:val=""/>
      <w:lvlJc w:val="left"/>
      <w:pPr>
        <w:ind w:left="4680" w:hanging="360"/>
      </w:pPr>
      <w:rPr>
        <w:rFonts w:ascii="Wingdings" w:eastAsia="Wingdings" w:hAnsi="Wingdings" w:cs="Wingdings"/>
      </w:rPr>
    </w:lvl>
    <w:lvl w:ilvl="6" w:tplc="D96A5D72">
      <w:start w:val="1"/>
      <w:numFmt w:val="bullet"/>
      <w:lvlText w:val=""/>
      <w:lvlJc w:val="left"/>
      <w:pPr>
        <w:ind w:left="5400" w:hanging="360"/>
      </w:pPr>
      <w:rPr>
        <w:rFonts w:ascii="Symbol" w:eastAsia="Symbol" w:hAnsi="Symbol" w:cs="Symbol"/>
      </w:rPr>
    </w:lvl>
    <w:lvl w:ilvl="7" w:tplc="564288E8">
      <w:start w:val="1"/>
      <w:numFmt w:val="bullet"/>
      <w:lvlText w:val="o"/>
      <w:lvlJc w:val="left"/>
      <w:pPr>
        <w:ind w:left="6120" w:hanging="360"/>
      </w:pPr>
      <w:rPr>
        <w:rFonts w:ascii="Courier New" w:eastAsia="Courier New" w:hAnsi="Courier New" w:cs="Courier New"/>
      </w:rPr>
    </w:lvl>
    <w:lvl w:ilvl="8" w:tplc="C3541D4E">
      <w:start w:val="1"/>
      <w:numFmt w:val="bullet"/>
      <w:lvlText w:val=""/>
      <w:lvlJc w:val="left"/>
      <w:pPr>
        <w:ind w:left="6840" w:hanging="360"/>
      </w:pPr>
      <w:rPr>
        <w:rFonts w:ascii="Wingdings" w:eastAsia="Wingdings" w:hAnsi="Wingdings" w:cs="Wingdings"/>
      </w:rPr>
    </w:lvl>
  </w:abstractNum>
  <w:abstractNum w:abstractNumId="2" w15:restartNumberingAfterBreak="0">
    <w:nsid w:val="2D293CE3"/>
    <w:multiLevelType w:val="hybridMultilevel"/>
    <w:tmpl w:val="B5AC2824"/>
    <w:name w:val="918636035"/>
    <w:lvl w:ilvl="0" w:tplc="FFFFFFFF">
      <w:start w:val="1"/>
      <w:numFmt w:val="decimal"/>
      <w:lvlText w:val="%1."/>
      <w:lvlJc w:val="left"/>
      <w:pPr>
        <w:ind w:left="656" w:hanging="476"/>
      </w:pPr>
      <w:rPr>
        <w:b w:val="0"/>
        <w:bCs/>
        <w:sz w:val="24"/>
        <w:szCs w:val="24"/>
      </w:rPr>
    </w:lvl>
    <w:lvl w:ilvl="1" w:tplc="379E0E46">
      <w:start w:val="1"/>
      <w:numFmt w:val="lowerLetter"/>
      <w:lvlText w:val="%2."/>
      <w:lvlJc w:val="left"/>
      <w:pPr>
        <w:ind w:left="953" w:hanging="477"/>
      </w:pPr>
    </w:lvl>
    <w:lvl w:ilvl="2" w:tplc="EEB2E408">
      <w:start w:val="1"/>
      <w:numFmt w:val="lowerRoman"/>
      <w:lvlText w:val="%3."/>
      <w:lvlJc w:val="left"/>
      <w:pPr>
        <w:ind w:left="1429" w:hanging="476"/>
      </w:pPr>
    </w:lvl>
    <w:lvl w:ilvl="3" w:tplc="8D301112">
      <w:start w:val="1"/>
      <w:numFmt w:val="decimal"/>
      <w:lvlText w:val="%4."/>
      <w:lvlJc w:val="left"/>
      <w:pPr>
        <w:ind w:left="2880" w:hanging="360"/>
      </w:pPr>
    </w:lvl>
    <w:lvl w:ilvl="4" w:tplc="5DE22A02">
      <w:start w:val="1"/>
      <w:numFmt w:val="lowerLetter"/>
      <w:lvlText w:val="%5."/>
      <w:lvlJc w:val="left"/>
      <w:pPr>
        <w:ind w:left="3600" w:hanging="360"/>
      </w:pPr>
    </w:lvl>
    <w:lvl w:ilvl="5" w:tplc="E9C015A2">
      <w:start w:val="1"/>
      <w:numFmt w:val="lowerRoman"/>
      <w:lvlText w:val="%6."/>
      <w:lvlJc w:val="right"/>
      <w:pPr>
        <w:ind w:left="4320" w:hanging="180"/>
      </w:pPr>
    </w:lvl>
    <w:lvl w:ilvl="6" w:tplc="48AC827E">
      <w:start w:val="1"/>
      <w:numFmt w:val="decimal"/>
      <w:lvlText w:val="%7."/>
      <w:lvlJc w:val="left"/>
      <w:pPr>
        <w:ind w:left="5040" w:hanging="360"/>
      </w:pPr>
    </w:lvl>
    <w:lvl w:ilvl="7" w:tplc="9F32D9D2">
      <w:start w:val="1"/>
      <w:numFmt w:val="lowerLetter"/>
      <w:lvlText w:val="%8."/>
      <w:lvlJc w:val="left"/>
      <w:pPr>
        <w:ind w:left="5760" w:hanging="360"/>
      </w:pPr>
    </w:lvl>
    <w:lvl w:ilvl="8" w:tplc="E0FCDC2C">
      <w:start w:val="1"/>
      <w:numFmt w:val="lowerRoman"/>
      <w:lvlText w:val="%9."/>
      <w:lvlJc w:val="right"/>
      <w:pPr>
        <w:ind w:left="6480" w:hanging="180"/>
      </w:pPr>
    </w:lvl>
  </w:abstractNum>
  <w:abstractNum w:abstractNumId="3"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5"/>
  </w:num>
  <w:num w:numId="5">
    <w:abstractNumId w:val="1"/>
    <w:lvlOverride w:ilvl="0">
      <w:startOverride w:val="1"/>
    </w:lvlOverride>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12E57"/>
    <w:rsid w:val="00017544"/>
    <w:rsid w:val="00020D7F"/>
    <w:rsid w:val="00020F25"/>
    <w:rsid w:val="000260EF"/>
    <w:rsid w:val="000268D7"/>
    <w:rsid w:val="000273A5"/>
    <w:rsid w:val="00027E62"/>
    <w:rsid w:val="00032386"/>
    <w:rsid w:val="000370F9"/>
    <w:rsid w:val="000443ED"/>
    <w:rsid w:val="00044F75"/>
    <w:rsid w:val="000615B3"/>
    <w:rsid w:val="000649A1"/>
    <w:rsid w:val="00065E22"/>
    <w:rsid w:val="00067BA8"/>
    <w:rsid w:val="000726AE"/>
    <w:rsid w:val="00073DFF"/>
    <w:rsid w:val="0008370F"/>
    <w:rsid w:val="00083AE8"/>
    <w:rsid w:val="000A3CCC"/>
    <w:rsid w:val="000A3F24"/>
    <w:rsid w:val="000B0145"/>
    <w:rsid w:val="000B3BFA"/>
    <w:rsid w:val="000B4A72"/>
    <w:rsid w:val="000B6DB6"/>
    <w:rsid w:val="000B74D3"/>
    <w:rsid w:val="000C3BC1"/>
    <w:rsid w:val="000C45E8"/>
    <w:rsid w:val="000C64B9"/>
    <w:rsid w:val="000C68F8"/>
    <w:rsid w:val="000C7F98"/>
    <w:rsid w:val="000D1382"/>
    <w:rsid w:val="000D1D2A"/>
    <w:rsid w:val="000D2EBF"/>
    <w:rsid w:val="000D6A84"/>
    <w:rsid w:val="000E01BC"/>
    <w:rsid w:val="000E09D0"/>
    <w:rsid w:val="000E0A93"/>
    <w:rsid w:val="000E1399"/>
    <w:rsid w:val="000E3535"/>
    <w:rsid w:val="000F043F"/>
    <w:rsid w:val="000F205B"/>
    <w:rsid w:val="000F44CC"/>
    <w:rsid w:val="000F6FA9"/>
    <w:rsid w:val="00101FBB"/>
    <w:rsid w:val="001033C8"/>
    <w:rsid w:val="0010592D"/>
    <w:rsid w:val="001108CD"/>
    <w:rsid w:val="00112E32"/>
    <w:rsid w:val="00117C2F"/>
    <w:rsid w:val="00117D42"/>
    <w:rsid w:val="0012190B"/>
    <w:rsid w:val="00134757"/>
    <w:rsid w:val="00134B42"/>
    <w:rsid w:val="00140213"/>
    <w:rsid w:val="00150055"/>
    <w:rsid w:val="0015645B"/>
    <w:rsid w:val="00161551"/>
    <w:rsid w:val="00162D98"/>
    <w:rsid w:val="001650CF"/>
    <w:rsid w:val="00166A8E"/>
    <w:rsid w:val="001726AA"/>
    <w:rsid w:val="00172A54"/>
    <w:rsid w:val="00172B24"/>
    <w:rsid w:val="001750B0"/>
    <w:rsid w:val="0018016E"/>
    <w:rsid w:val="00182584"/>
    <w:rsid w:val="001826F8"/>
    <w:rsid w:val="00183EE2"/>
    <w:rsid w:val="001900FA"/>
    <w:rsid w:val="00190C71"/>
    <w:rsid w:val="00194DD4"/>
    <w:rsid w:val="0019621B"/>
    <w:rsid w:val="001A18D8"/>
    <w:rsid w:val="001A7C84"/>
    <w:rsid w:val="001B28F7"/>
    <w:rsid w:val="001B33A4"/>
    <w:rsid w:val="001B6C22"/>
    <w:rsid w:val="001B7117"/>
    <w:rsid w:val="001C0FCB"/>
    <w:rsid w:val="001C66A9"/>
    <w:rsid w:val="001D2658"/>
    <w:rsid w:val="001D56F9"/>
    <w:rsid w:val="001D7865"/>
    <w:rsid w:val="001E26B1"/>
    <w:rsid w:val="001E38A3"/>
    <w:rsid w:val="001E4D59"/>
    <w:rsid w:val="001E5620"/>
    <w:rsid w:val="001E6DAA"/>
    <w:rsid w:val="001F1AB8"/>
    <w:rsid w:val="001F4570"/>
    <w:rsid w:val="002033F5"/>
    <w:rsid w:val="002040E1"/>
    <w:rsid w:val="002054D0"/>
    <w:rsid w:val="002103C8"/>
    <w:rsid w:val="002104FC"/>
    <w:rsid w:val="00212965"/>
    <w:rsid w:val="00227310"/>
    <w:rsid w:val="002302F1"/>
    <w:rsid w:val="002341F0"/>
    <w:rsid w:val="002349C9"/>
    <w:rsid w:val="00237B81"/>
    <w:rsid w:val="002523A2"/>
    <w:rsid w:val="00254B94"/>
    <w:rsid w:val="0025660B"/>
    <w:rsid w:val="00257D70"/>
    <w:rsid w:val="00261EA5"/>
    <w:rsid w:val="00267225"/>
    <w:rsid w:val="0026767E"/>
    <w:rsid w:val="002708DC"/>
    <w:rsid w:val="00272D8D"/>
    <w:rsid w:val="00277430"/>
    <w:rsid w:val="00285908"/>
    <w:rsid w:val="00290C5D"/>
    <w:rsid w:val="00293319"/>
    <w:rsid w:val="00293983"/>
    <w:rsid w:val="002A09A1"/>
    <w:rsid w:val="002A3249"/>
    <w:rsid w:val="002A3DA1"/>
    <w:rsid w:val="002A49EE"/>
    <w:rsid w:val="002A67BF"/>
    <w:rsid w:val="002A7E2A"/>
    <w:rsid w:val="002B1E5E"/>
    <w:rsid w:val="002B533E"/>
    <w:rsid w:val="002B6970"/>
    <w:rsid w:val="002C1F57"/>
    <w:rsid w:val="002C344D"/>
    <w:rsid w:val="002C578E"/>
    <w:rsid w:val="002D618D"/>
    <w:rsid w:val="002D6715"/>
    <w:rsid w:val="002E2AAC"/>
    <w:rsid w:val="002F03D6"/>
    <w:rsid w:val="002F51D9"/>
    <w:rsid w:val="00301631"/>
    <w:rsid w:val="0030384C"/>
    <w:rsid w:val="00304FC4"/>
    <w:rsid w:val="00310676"/>
    <w:rsid w:val="00311C50"/>
    <w:rsid w:val="00314C4F"/>
    <w:rsid w:val="00320BD8"/>
    <w:rsid w:val="00322488"/>
    <w:rsid w:val="00325AF8"/>
    <w:rsid w:val="00326BB0"/>
    <w:rsid w:val="00326CCB"/>
    <w:rsid w:val="00331B98"/>
    <w:rsid w:val="00334D96"/>
    <w:rsid w:val="0033537E"/>
    <w:rsid w:val="003363CC"/>
    <w:rsid w:val="00345937"/>
    <w:rsid w:val="00346001"/>
    <w:rsid w:val="00350320"/>
    <w:rsid w:val="00351907"/>
    <w:rsid w:val="00354A0F"/>
    <w:rsid w:val="003563A4"/>
    <w:rsid w:val="003644DF"/>
    <w:rsid w:val="00367564"/>
    <w:rsid w:val="0036780D"/>
    <w:rsid w:val="00371F60"/>
    <w:rsid w:val="00372723"/>
    <w:rsid w:val="00373ED4"/>
    <w:rsid w:val="00381025"/>
    <w:rsid w:val="0038109D"/>
    <w:rsid w:val="00383975"/>
    <w:rsid w:val="00383CAC"/>
    <w:rsid w:val="00384223"/>
    <w:rsid w:val="00391FBF"/>
    <w:rsid w:val="003A043C"/>
    <w:rsid w:val="003A0544"/>
    <w:rsid w:val="003A3117"/>
    <w:rsid w:val="003A352F"/>
    <w:rsid w:val="003A4098"/>
    <w:rsid w:val="003A5C3F"/>
    <w:rsid w:val="003B0723"/>
    <w:rsid w:val="003B1C77"/>
    <w:rsid w:val="003B3311"/>
    <w:rsid w:val="003B54C5"/>
    <w:rsid w:val="003C0F98"/>
    <w:rsid w:val="003C25A1"/>
    <w:rsid w:val="003D2AB8"/>
    <w:rsid w:val="003D679D"/>
    <w:rsid w:val="003E1CB2"/>
    <w:rsid w:val="003E24D7"/>
    <w:rsid w:val="003E420C"/>
    <w:rsid w:val="003E50A4"/>
    <w:rsid w:val="003F01DE"/>
    <w:rsid w:val="003F7A9E"/>
    <w:rsid w:val="00403CEC"/>
    <w:rsid w:val="00406724"/>
    <w:rsid w:val="00411B3D"/>
    <w:rsid w:val="00414870"/>
    <w:rsid w:val="00417692"/>
    <w:rsid w:val="0042132E"/>
    <w:rsid w:val="00422FB5"/>
    <w:rsid w:val="00425054"/>
    <w:rsid w:val="004336B4"/>
    <w:rsid w:val="004340E6"/>
    <w:rsid w:val="004349DF"/>
    <w:rsid w:val="00435465"/>
    <w:rsid w:val="00436961"/>
    <w:rsid w:val="00444A98"/>
    <w:rsid w:val="00445FD5"/>
    <w:rsid w:val="00454AD9"/>
    <w:rsid w:val="00455788"/>
    <w:rsid w:val="0046484E"/>
    <w:rsid w:val="004649D1"/>
    <w:rsid w:val="00473015"/>
    <w:rsid w:val="00474940"/>
    <w:rsid w:val="00475484"/>
    <w:rsid w:val="00476708"/>
    <w:rsid w:val="00481445"/>
    <w:rsid w:val="00483D92"/>
    <w:rsid w:val="00491DB8"/>
    <w:rsid w:val="00497DFC"/>
    <w:rsid w:val="004A0C7C"/>
    <w:rsid w:val="004A41CF"/>
    <w:rsid w:val="004A5A1D"/>
    <w:rsid w:val="004A7B58"/>
    <w:rsid w:val="004B3F25"/>
    <w:rsid w:val="004B688B"/>
    <w:rsid w:val="004C2681"/>
    <w:rsid w:val="004C6487"/>
    <w:rsid w:val="004C7D2E"/>
    <w:rsid w:val="004D2F73"/>
    <w:rsid w:val="004E605D"/>
    <w:rsid w:val="004F4318"/>
    <w:rsid w:val="004F536D"/>
    <w:rsid w:val="004F5658"/>
    <w:rsid w:val="004F5B3E"/>
    <w:rsid w:val="00502860"/>
    <w:rsid w:val="00502886"/>
    <w:rsid w:val="00507E8F"/>
    <w:rsid w:val="00513367"/>
    <w:rsid w:val="00530173"/>
    <w:rsid w:val="00535D88"/>
    <w:rsid w:val="005403EE"/>
    <w:rsid w:val="00540C25"/>
    <w:rsid w:val="00544A82"/>
    <w:rsid w:val="00545FD8"/>
    <w:rsid w:val="005468AB"/>
    <w:rsid w:val="00547080"/>
    <w:rsid w:val="0055060E"/>
    <w:rsid w:val="0055609C"/>
    <w:rsid w:val="00556521"/>
    <w:rsid w:val="00567C80"/>
    <w:rsid w:val="0057048B"/>
    <w:rsid w:val="00574D9D"/>
    <w:rsid w:val="00575FC1"/>
    <w:rsid w:val="0057670A"/>
    <w:rsid w:val="005817B1"/>
    <w:rsid w:val="00583866"/>
    <w:rsid w:val="005865E5"/>
    <w:rsid w:val="00590BFC"/>
    <w:rsid w:val="005918A5"/>
    <w:rsid w:val="005963B6"/>
    <w:rsid w:val="005A1B18"/>
    <w:rsid w:val="005A41BB"/>
    <w:rsid w:val="005A7DF7"/>
    <w:rsid w:val="005A7F8D"/>
    <w:rsid w:val="005B2905"/>
    <w:rsid w:val="005B2A89"/>
    <w:rsid w:val="005B3061"/>
    <w:rsid w:val="005C2D33"/>
    <w:rsid w:val="005C36CD"/>
    <w:rsid w:val="005C4A4B"/>
    <w:rsid w:val="005C4B78"/>
    <w:rsid w:val="005C4F1C"/>
    <w:rsid w:val="005C5ED2"/>
    <w:rsid w:val="005C7A7C"/>
    <w:rsid w:val="005D31A6"/>
    <w:rsid w:val="005D37EB"/>
    <w:rsid w:val="005D4A62"/>
    <w:rsid w:val="005E0708"/>
    <w:rsid w:val="005E19CE"/>
    <w:rsid w:val="005E1B86"/>
    <w:rsid w:val="005E2161"/>
    <w:rsid w:val="005E4430"/>
    <w:rsid w:val="005E58C7"/>
    <w:rsid w:val="005E76F1"/>
    <w:rsid w:val="005F24FD"/>
    <w:rsid w:val="005F3AEF"/>
    <w:rsid w:val="005F61B9"/>
    <w:rsid w:val="00611921"/>
    <w:rsid w:val="006178E4"/>
    <w:rsid w:val="006253C3"/>
    <w:rsid w:val="006311E4"/>
    <w:rsid w:val="00631FB2"/>
    <w:rsid w:val="0063399C"/>
    <w:rsid w:val="00646F23"/>
    <w:rsid w:val="00650717"/>
    <w:rsid w:val="006507FE"/>
    <w:rsid w:val="00655EDD"/>
    <w:rsid w:val="0066119D"/>
    <w:rsid w:val="0066580E"/>
    <w:rsid w:val="0066702F"/>
    <w:rsid w:val="006741EF"/>
    <w:rsid w:val="00676068"/>
    <w:rsid w:val="006820FE"/>
    <w:rsid w:val="00686F32"/>
    <w:rsid w:val="00687712"/>
    <w:rsid w:val="006937BA"/>
    <w:rsid w:val="0069455D"/>
    <w:rsid w:val="0069778B"/>
    <w:rsid w:val="006A1AF6"/>
    <w:rsid w:val="006A4A0A"/>
    <w:rsid w:val="006B2199"/>
    <w:rsid w:val="006B7663"/>
    <w:rsid w:val="006B7ADD"/>
    <w:rsid w:val="006C6CCE"/>
    <w:rsid w:val="006C731D"/>
    <w:rsid w:val="006D0087"/>
    <w:rsid w:val="006D499F"/>
    <w:rsid w:val="006D78CA"/>
    <w:rsid w:val="006E007F"/>
    <w:rsid w:val="006E0328"/>
    <w:rsid w:val="006E3FE2"/>
    <w:rsid w:val="006E56B5"/>
    <w:rsid w:val="006E5F3C"/>
    <w:rsid w:val="006F555B"/>
    <w:rsid w:val="007053E2"/>
    <w:rsid w:val="00715B82"/>
    <w:rsid w:val="0071774E"/>
    <w:rsid w:val="00717A87"/>
    <w:rsid w:val="00720994"/>
    <w:rsid w:val="007247D3"/>
    <w:rsid w:val="00724C1C"/>
    <w:rsid w:val="0073749F"/>
    <w:rsid w:val="00737DA4"/>
    <w:rsid w:val="007427DC"/>
    <w:rsid w:val="00742979"/>
    <w:rsid w:val="007471B7"/>
    <w:rsid w:val="0075418F"/>
    <w:rsid w:val="0075508D"/>
    <w:rsid w:val="007616C0"/>
    <w:rsid w:val="00761DC8"/>
    <w:rsid w:val="00762816"/>
    <w:rsid w:val="007653D6"/>
    <w:rsid w:val="00770FA7"/>
    <w:rsid w:val="0077237D"/>
    <w:rsid w:val="00775142"/>
    <w:rsid w:val="00785967"/>
    <w:rsid w:val="00790F49"/>
    <w:rsid w:val="00795E6E"/>
    <w:rsid w:val="007A2114"/>
    <w:rsid w:val="007A6D76"/>
    <w:rsid w:val="007A750A"/>
    <w:rsid w:val="007B10B2"/>
    <w:rsid w:val="007B2E4D"/>
    <w:rsid w:val="007B4EC1"/>
    <w:rsid w:val="007B5278"/>
    <w:rsid w:val="007C08BB"/>
    <w:rsid w:val="007C1C1D"/>
    <w:rsid w:val="007D157F"/>
    <w:rsid w:val="007D50D0"/>
    <w:rsid w:val="007D6A15"/>
    <w:rsid w:val="007E00C7"/>
    <w:rsid w:val="007E0F39"/>
    <w:rsid w:val="007E14F1"/>
    <w:rsid w:val="007F0079"/>
    <w:rsid w:val="007F292E"/>
    <w:rsid w:val="007F68C4"/>
    <w:rsid w:val="00802E2E"/>
    <w:rsid w:val="00805A37"/>
    <w:rsid w:val="0080752B"/>
    <w:rsid w:val="00810512"/>
    <w:rsid w:val="00812848"/>
    <w:rsid w:val="00813288"/>
    <w:rsid w:val="00814948"/>
    <w:rsid w:val="00814EF3"/>
    <w:rsid w:val="00815280"/>
    <w:rsid w:val="00815710"/>
    <w:rsid w:val="00815B5E"/>
    <w:rsid w:val="0081660A"/>
    <w:rsid w:val="008168F8"/>
    <w:rsid w:val="008179A8"/>
    <w:rsid w:val="008224B6"/>
    <w:rsid w:val="008320B1"/>
    <w:rsid w:val="00833BF0"/>
    <w:rsid w:val="00837FA5"/>
    <w:rsid w:val="008414E6"/>
    <w:rsid w:val="00842991"/>
    <w:rsid w:val="00845779"/>
    <w:rsid w:val="00847E17"/>
    <w:rsid w:val="00852A18"/>
    <w:rsid w:val="00852E61"/>
    <w:rsid w:val="0086018C"/>
    <w:rsid w:val="008633A5"/>
    <w:rsid w:val="00863FBA"/>
    <w:rsid w:val="00866F5C"/>
    <w:rsid w:val="00866FDF"/>
    <w:rsid w:val="00867EC9"/>
    <w:rsid w:val="0088031D"/>
    <w:rsid w:val="0088327B"/>
    <w:rsid w:val="00883720"/>
    <w:rsid w:val="008838F4"/>
    <w:rsid w:val="00884761"/>
    <w:rsid w:val="00890D3F"/>
    <w:rsid w:val="00890F6F"/>
    <w:rsid w:val="00896909"/>
    <w:rsid w:val="0089774D"/>
    <w:rsid w:val="008A0192"/>
    <w:rsid w:val="008A0938"/>
    <w:rsid w:val="008A75FA"/>
    <w:rsid w:val="008A7D19"/>
    <w:rsid w:val="008C2905"/>
    <w:rsid w:val="008C4CE5"/>
    <w:rsid w:val="008C6B3C"/>
    <w:rsid w:val="008C7AAA"/>
    <w:rsid w:val="008D1B37"/>
    <w:rsid w:val="008D1BF4"/>
    <w:rsid w:val="008D1E8B"/>
    <w:rsid w:val="008D2889"/>
    <w:rsid w:val="008D3638"/>
    <w:rsid w:val="008D5CBC"/>
    <w:rsid w:val="008E0646"/>
    <w:rsid w:val="008E412B"/>
    <w:rsid w:val="008E5B13"/>
    <w:rsid w:val="008F0CAD"/>
    <w:rsid w:val="008F249F"/>
    <w:rsid w:val="008F32BA"/>
    <w:rsid w:val="008F4F37"/>
    <w:rsid w:val="00901D96"/>
    <w:rsid w:val="00904BD7"/>
    <w:rsid w:val="00913B7D"/>
    <w:rsid w:val="00917309"/>
    <w:rsid w:val="009200F2"/>
    <w:rsid w:val="00926729"/>
    <w:rsid w:val="00930599"/>
    <w:rsid w:val="00932D2A"/>
    <w:rsid w:val="009352AE"/>
    <w:rsid w:val="00941213"/>
    <w:rsid w:val="0095044A"/>
    <w:rsid w:val="0095207E"/>
    <w:rsid w:val="009555C4"/>
    <w:rsid w:val="00961CC2"/>
    <w:rsid w:val="00966D35"/>
    <w:rsid w:val="0096779F"/>
    <w:rsid w:val="00975180"/>
    <w:rsid w:val="00975F98"/>
    <w:rsid w:val="00976BB1"/>
    <w:rsid w:val="0097713F"/>
    <w:rsid w:val="00980EDD"/>
    <w:rsid w:val="009814B4"/>
    <w:rsid w:val="00990260"/>
    <w:rsid w:val="0099139C"/>
    <w:rsid w:val="00992411"/>
    <w:rsid w:val="00992803"/>
    <w:rsid w:val="009937D4"/>
    <w:rsid w:val="009944E5"/>
    <w:rsid w:val="0099609E"/>
    <w:rsid w:val="009A16C1"/>
    <w:rsid w:val="009A20C8"/>
    <w:rsid w:val="009A2B51"/>
    <w:rsid w:val="009A355A"/>
    <w:rsid w:val="009A6B37"/>
    <w:rsid w:val="009A6E15"/>
    <w:rsid w:val="009B1510"/>
    <w:rsid w:val="009B6691"/>
    <w:rsid w:val="009C22F8"/>
    <w:rsid w:val="009C3C08"/>
    <w:rsid w:val="009C7117"/>
    <w:rsid w:val="009C732D"/>
    <w:rsid w:val="009C73F8"/>
    <w:rsid w:val="009C7E35"/>
    <w:rsid w:val="009D148A"/>
    <w:rsid w:val="009D2A63"/>
    <w:rsid w:val="009D6EE3"/>
    <w:rsid w:val="009E07D1"/>
    <w:rsid w:val="009E0B9E"/>
    <w:rsid w:val="009E1338"/>
    <w:rsid w:val="009E3411"/>
    <w:rsid w:val="009E6C60"/>
    <w:rsid w:val="009F0749"/>
    <w:rsid w:val="009F0B69"/>
    <w:rsid w:val="009F1BC9"/>
    <w:rsid w:val="009F642C"/>
    <w:rsid w:val="009F7970"/>
    <w:rsid w:val="009F7D37"/>
    <w:rsid w:val="00A012E5"/>
    <w:rsid w:val="00A056E1"/>
    <w:rsid w:val="00A157BD"/>
    <w:rsid w:val="00A17A8C"/>
    <w:rsid w:val="00A17B56"/>
    <w:rsid w:val="00A212FF"/>
    <w:rsid w:val="00A21B4E"/>
    <w:rsid w:val="00A21BD1"/>
    <w:rsid w:val="00A24319"/>
    <w:rsid w:val="00A26667"/>
    <w:rsid w:val="00A27002"/>
    <w:rsid w:val="00A30759"/>
    <w:rsid w:val="00A31F80"/>
    <w:rsid w:val="00A324D9"/>
    <w:rsid w:val="00A34FED"/>
    <w:rsid w:val="00A3772E"/>
    <w:rsid w:val="00A402C8"/>
    <w:rsid w:val="00A42AA7"/>
    <w:rsid w:val="00A4317B"/>
    <w:rsid w:val="00A56DBF"/>
    <w:rsid w:val="00A60475"/>
    <w:rsid w:val="00A821BA"/>
    <w:rsid w:val="00A82619"/>
    <w:rsid w:val="00A83B1A"/>
    <w:rsid w:val="00A84676"/>
    <w:rsid w:val="00A84A9E"/>
    <w:rsid w:val="00A911A9"/>
    <w:rsid w:val="00A91F95"/>
    <w:rsid w:val="00A96519"/>
    <w:rsid w:val="00A9704B"/>
    <w:rsid w:val="00AA221F"/>
    <w:rsid w:val="00AA4E18"/>
    <w:rsid w:val="00AA6A3C"/>
    <w:rsid w:val="00AA77B1"/>
    <w:rsid w:val="00AB0937"/>
    <w:rsid w:val="00AB1DC1"/>
    <w:rsid w:val="00AB4D99"/>
    <w:rsid w:val="00AB57B3"/>
    <w:rsid w:val="00AC0FBB"/>
    <w:rsid w:val="00AC210B"/>
    <w:rsid w:val="00AC268F"/>
    <w:rsid w:val="00AC316D"/>
    <w:rsid w:val="00AC71B1"/>
    <w:rsid w:val="00AD38BC"/>
    <w:rsid w:val="00AD4AB6"/>
    <w:rsid w:val="00AD4FCB"/>
    <w:rsid w:val="00AD53A2"/>
    <w:rsid w:val="00AD7110"/>
    <w:rsid w:val="00AD7EB7"/>
    <w:rsid w:val="00AE25CF"/>
    <w:rsid w:val="00AE4401"/>
    <w:rsid w:val="00AF30CF"/>
    <w:rsid w:val="00AF4B0D"/>
    <w:rsid w:val="00AF6B4E"/>
    <w:rsid w:val="00B00B25"/>
    <w:rsid w:val="00B057A6"/>
    <w:rsid w:val="00B17EA0"/>
    <w:rsid w:val="00B33430"/>
    <w:rsid w:val="00B35FF7"/>
    <w:rsid w:val="00B36D0E"/>
    <w:rsid w:val="00B42278"/>
    <w:rsid w:val="00B45DEE"/>
    <w:rsid w:val="00B47562"/>
    <w:rsid w:val="00B61830"/>
    <w:rsid w:val="00B62284"/>
    <w:rsid w:val="00B63058"/>
    <w:rsid w:val="00B64252"/>
    <w:rsid w:val="00B65DB1"/>
    <w:rsid w:val="00B676B2"/>
    <w:rsid w:val="00B75182"/>
    <w:rsid w:val="00B75AA3"/>
    <w:rsid w:val="00B8130A"/>
    <w:rsid w:val="00B96ECE"/>
    <w:rsid w:val="00BA04D0"/>
    <w:rsid w:val="00BA44AC"/>
    <w:rsid w:val="00BA6A20"/>
    <w:rsid w:val="00BA7682"/>
    <w:rsid w:val="00BB4916"/>
    <w:rsid w:val="00BB4A95"/>
    <w:rsid w:val="00BB4B32"/>
    <w:rsid w:val="00BB6D3C"/>
    <w:rsid w:val="00BB72C8"/>
    <w:rsid w:val="00BC179F"/>
    <w:rsid w:val="00BC2E92"/>
    <w:rsid w:val="00BC3EE5"/>
    <w:rsid w:val="00BC75D7"/>
    <w:rsid w:val="00BD4D4A"/>
    <w:rsid w:val="00BE061F"/>
    <w:rsid w:val="00BE0DDA"/>
    <w:rsid w:val="00BE3E20"/>
    <w:rsid w:val="00BE6E74"/>
    <w:rsid w:val="00BF7AE7"/>
    <w:rsid w:val="00C030C0"/>
    <w:rsid w:val="00C057B7"/>
    <w:rsid w:val="00C061C7"/>
    <w:rsid w:val="00C16525"/>
    <w:rsid w:val="00C16531"/>
    <w:rsid w:val="00C2521D"/>
    <w:rsid w:val="00C3056D"/>
    <w:rsid w:val="00C3552F"/>
    <w:rsid w:val="00C36170"/>
    <w:rsid w:val="00C413CE"/>
    <w:rsid w:val="00C50461"/>
    <w:rsid w:val="00C52F0E"/>
    <w:rsid w:val="00C639CA"/>
    <w:rsid w:val="00C72C91"/>
    <w:rsid w:val="00C82639"/>
    <w:rsid w:val="00C837E8"/>
    <w:rsid w:val="00C84F75"/>
    <w:rsid w:val="00C92410"/>
    <w:rsid w:val="00C954AF"/>
    <w:rsid w:val="00C954FE"/>
    <w:rsid w:val="00CA5326"/>
    <w:rsid w:val="00CA5DDB"/>
    <w:rsid w:val="00CA6B49"/>
    <w:rsid w:val="00CA7BAB"/>
    <w:rsid w:val="00CB3F7C"/>
    <w:rsid w:val="00CB7BAE"/>
    <w:rsid w:val="00CC017E"/>
    <w:rsid w:val="00CC0C94"/>
    <w:rsid w:val="00CC11FB"/>
    <w:rsid w:val="00CC2E4E"/>
    <w:rsid w:val="00CC47B6"/>
    <w:rsid w:val="00CD0C91"/>
    <w:rsid w:val="00CD1D0A"/>
    <w:rsid w:val="00CD3895"/>
    <w:rsid w:val="00CD5AD6"/>
    <w:rsid w:val="00CD7332"/>
    <w:rsid w:val="00CE2D04"/>
    <w:rsid w:val="00CE5929"/>
    <w:rsid w:val="00CF0CAB"/>
    <w:rsid w:val="00CF343E"/>
    <w:rsid w:val="00CF6FAB"/>
    <w:rsid w:val="00D00001"/>
    <w:rsid w:val="00D10093"/>
    <w:rsid w:val="00D14385"/>
    <w:rsid w:val="00D14737"/>
    <w:rsid w:val="00D2193E"/>
    <w:rsid w:val="00D43348"/>
    <w:rsid w:val="00D46F0D"/>
    <w:rsid w:val="00D53697"/>
    <w:rsid w:val="00D54CA4"/>
    <w:rsid w:val="00D56A47"/>
    <w:rsid w:val="00D64A25"/>
    <w:rsid w:val="00D6604E"/>
    <w:rsid w:val="00D71D1F"/>
    <w:rsid w:val="00D7511E"/>
    <w:rsid w:val="00D77CDA"/>
    <w:rsid w:val="00D830F8"/>
    <w:rsid w:val="00D87144"/>
    <w:rsid w:val="00D958E1"/>
    <w:rsid w:val="00DA0453"/>
    <w:rsid w:val="00DA085F"/>
    <w:rsid w:val="00DA2379"/>
    <w:rsid w:val="00DA3DEA"/>
    <w:rsid w:val="00DA3EFD"/>
    <w:rsid w:val="00DB05A4"/>
    <w:rsid w:val="00DB5C90"/>
    <w:rsid w:val="00DB77C1"/>
    <w:rsid w:val="00DC1E5B"/>
    <w:rsid w:val="00DC25EA"/>
    <w:rsid w:val="00DC2712"/>
    <w:rsid w:val="00DC3366"/>
    <w:rsid w:val="00DC55CB"/>
    <w:rsid w:val="00DC78AE"/>
    <w:rsid w:val="00DD42BE"/>
    <w:rsid w:val="00DD6362"/>
    <w:rsid w:val="00DD66B3"/>
    <w:rsid w:val="00DE16B8"/>
    <w:rsid w:val="00DE41A1"/>
    <w:rsid w:val="00DE5160"/>
    <w:rsid w:val="00DE53A6"/>
    <w:rsid w:val="00DE664B"/>
    <w:rsid w:val="00DF5986"/>
    <w:rsid w:val="00DF7D46"/>
    <w:rsid w:val="00E0358D"/>
    <w:rsid w:val="00E15B01"/>
    <w:rsid w:val="00E210DF"/>
    <w:rsid w:val="00E270EA"/>
    <w:rsid w:val="00E30D3A"/>
    <w:rsid w:val="00E33C0D"/>
    <w:rsid w:val="00E36392"/>
    <w:rsid w:val="00E45CD5"/>
    <w:rsid w:val="00E51489"/>
    <w:rsid w:val="00E52232"/>
    <w:rsid w:val="00E531FB"/>
    <w:rsid w:val="00E5618B"/>
    <w:rsid w:val="00E5664A"/>
    <w:rsid w:val="00E573A8"/>
    <w:rsid w:val="00E6538C"/>
    <w:rsid w:val="00E67837"/>
    <w:rsid w:val="00E71E76"/>
    <w:rsid w:val="00E72A13"/>
    <w:rsid w:val="00E8000C"/>
    <w:rsid w:val="00E83AE3"/>
    <w:rsid w:val="00E83E7B"/>
    <w:rsid w:val="00E91DA8"/>
    <w:rsid w:val="00E933A1"/>
    <w:rsid w:val="00EA1D7C"/>
    <w:rsid w:val="00EA3402"/>
    <w:rsid w:val="00EB3B39"/>
    <w:rsid w:val="00EB3B52"/>
    <w:rsid w:val="00EB42A2"/>
    <w:rsid w:val="00EB76E1"/>
    <w:rsid w:val="00EC0CEF"/>
    <w:rsid w:val="00EC41CD"/>
    <w:rsid w:val="00EC6BB2"/>
    <w:rsid w:val="00ED157B"/>
    <w:rsid w:val="00ED1DA4"/>
    <w:rsid w:val="00ED6695"/>
    <w:rsid w:val="00EE0D1D"/>
    <w:rsid w:val="00EE156E"/>
    <w:rsid w:val="00EE23CC"/>
    <w:rsid w:val="00EE7584"/>
    <w:rsid w:val="00EF7B3B"/>
    <w:rsid w:val="00F01AB8"/>
    <w:rsid w:val="00F035D0"/>
    <w:rsid w:val="00F03B53"/>
    <w:rsid w:val="00F04479"/>
    <w:rsid w:val="00F10431"/>
    <w:rsid w:val="00F106C7"/>
    <w:rsid w:val="00F123FA"/>
    <w:rsid w:val="00F127DB"/>
    <w:rsid w:val="00F14BEB"/>
    <w:rsid w:val="00F20D6E"/>
    <w:rsid w:val="00F311B9"/>
    <w:rsid w:val="00F339A8"/>
    <w:rsid w:val="00F342ED"/>
    <w:rsid w:val="00F34F11"/>
    <w:rsid w:val="00F362EE"/>
    <w:rsid w:val="00F40C02"/>
    <w:rsid w:val="00F40F26"/>
    <w:rsid w:val="00F42582"/>
    <w:rsid w:val="00F42EDA"/>
    <w:rsid w:val="00F45402"/>
    <w:rsid w:val="00F4607C"/>
    <w:rsid w:val="00F534B3"/>
    <w:rsid w:val="00F55271"/>
    <w:rsid w:val="00F55286"/>
    <w:rsid w:val="00F55D98"/>
    <w:rsid w:val="00F63AF0"/>
    <w:rsid w:val="00F65921"/>
    <w:rsid w:val="00F712FF"/>
    <w:rsid w:val="00F73FD7"/>
    <w:rsid w:val="00F81032"/>
    <w:rsid w:val="00F81E0D"/>
    <w:rsid w:val="00F84BCE"/>
    <w:rsid w:val="00F85741"/>
    <w:rsid w:val="00F86547"/>
    <w:rsid w:val="00F90F5A"/>
    <w:rsid w:val="00F9388E"/>
    <w:rsid w:val="00F94343"/>
    <w:rsid w:val="00FA1EEE"/>
    <w:rsid w:val="00FB1224"/>
    <w:rsid w:val="00FB29E7"/>
    <w:rsid w:val="00FB5FB2"/>
    <w:rsid w:val="00FC2C86"/>
    <w:rsid w:val="00FD59C7"/>
    <w:rsid w:val="00FE119B"/>
    <w:rsid w:val="00FE7B56"/>
    <w:rsid w:val="00FF4E34"/>
    <w:rsid w:val="00FF527D"/>
    <w:rsid w:val="00FF53DC"/>
    <w:rsid w:val="00FF695E"/>
  </w:rsids>
  <m:mathPr>
    <m:mathFont m:val="Cambria Math"/>
    <m:brkBin m:val="before"/>
    <m:brkBinSub m:val="--"/>
    <m:smallFrac m:val="0"/>
    <m:dispDef/>
    <m:lMargin m:val="0"/>
    <m:rMargin m:val="0"/>
    <m:defJc m:val="centerGroup"/>
    <m:wrapIndent m:val="1440"/>
    <m:intLim m:val="subSup"/>
    <m:naryLim m:val="undOvr"/>
  </m:mathPr>
  <w:themeFontLang w:val="fr-BE"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52487828"/>
  <w15:docId w15:val="{984669C0-AB7B-4E4C-9D64-E45C862E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8F7"/>
    <w:pPr>
      <w:spacing w:line="288" w:lineRule="auto"/>
      <w:jc w:val="both"/>
    </w:pPr>
    <w:rPr>
      <w:sz w:val="22"/>
      <w:szCs w:val="22"/>
      <w:lang w:val="en-US" w:eastAsia="en-US"/>
    </w:rPr>
  </w:style>
  <w:style w:type="paragraph" w:styleId="Heading1">
    <w:name w:val="heading 1"/>
    <w:basedOn w:val="Normal"/>
    <w:next w:val="Normal"/>
    <w:link w:val="Heading1Char"/>
    <w:qFormat/>
    <w:rsid w:val="001B28F7"/>
    <w:pPr>
      <w:numPr>
        <w:numId w:val="1"/>
      </w:numPr>
      <w:ind w:left="567" w:hanging="567"/>
      <w:outlineLvl w:val="0"/>
    </w:pPr>
    <w:rPr>
      <w:kern w:val="28"/>
    </w:rPr>
  </w:style>
  <w:style w:type="paragraph" w:styleId="Heading2">
    <w:name w:val="heading 2"/>
    <w:basedOn w:val="Normal"/>
    <w:next w:val="Normal"/>
    <w:link w:val="Heading2Char"/>
    <w:qFormat/>
    <w:rsid w:val="001B28F7"/>
    <w:pPr>
      <w:numPr>
        <w:ilvl w:val="1"/>
        <w:numId w:val="1"/>
      </w:numPr>
      <w:ind w:left="567" w:hanging="567"/>
      <w:outlineLvl w:val="1"/>
    </w:pPr>
  </w:style>
  <w:style w:type="paragraph" w:styleId="Heading3">
    <w:name w:val="heading 3"/>
    <w:basedOn w:val="Normal"/>
    <w:next w:val="Normal"/>
    <w:link w:val="Heading3Char"/>
    <w:qFormat/>
    <w:rsid w:val="001B28F7"/>
    <w:pPr>
      <w:numPr>
        <w:ilvl w:val="2"/>
        <w:numId w:val="1"/>
      </w:numPr>
      <w:ind w:left="567" w:hanging="567"/>
      <w:outlineLvl w:val="2"/>
    </w:pPr>
  </w:style>
  <w:style w:type="paragraph" w:styleId="Heading4">
    <w:name w:val="heading 4"/>
    <w:basedOn w:val="Normal"/>
    <w:next w:val="Normal"/>
    <w:link w:val="Heading4Char"/>
    <w:qFormat/>
    <w:rsid w:val="001B28F7"/>
    <w:pPr>
      <w:numPr>
        <w:ilvl w:val="3"/>
        <w:numId w:val="1"/>
      </w:numPr>
      <w:ind w:left="567" w:hanging="567"/>
      <w:outlineLvl w:val="3"/>
    </w:pPr>
  </w:style>
  <w:style w:type="paragraph" w:styleId="Heading5">
    <w:name w:val="heading 5"/>
    <w:basedOn w:val="Normal"/>
    <w:next w:val="Normal"/>
    <w:link w:val="Heading5Char"/>
    <w:qFormat/>
    <w:rsid w:val="001B28F7"/>
    <w:pPr>
      <w:numPr>
        <w:ilvl w:val="4"/>
        <w:numId w:val="1"/>
      </w:numPr>
      <w:ind w:left="567" w:hanging="567"/>
      <w:outlineLvl w:val="4"/>
    </w:pPr>
  </w:style>
  <w:style w:type="paragraph" w:styleId="Heading6">
    <w:name w:val="heading 6"/>
    <w:basedOn w:val="Normal"/>
    <w:next w:val="Normal"/>
    <w:link w:val="Heading6Char"/>
    <w:qFormat/>
    <w:rsid w:val="001B28F7"/>
    <w:pPr>
      <w:numPr>
        <w:ilvl w:val="5"/>
        <w:numId w:val="1"/>
      </w:numPr>
      <w:ind w:left="567" w:hanging="567"/>
      <w:outlineLvl w:val="5"/>
    </w:pPr>
  </w:style>
  <w:style w:type="paragraph" w:styleId="Heading7">
    <w:name w:val="heading 7"/>
    <w:basedOn w:val="Normal"/>
    <w:next w:val="Normal"/>
    <w:link w:val="Heading7Char"/>
    <w:qFormat/>
    <w:rsid w:val="001B28F7"/>
    <w:pPr>
      <w:numPr>
        <w:ilvl w:val="6"/>
        <w:numId w:val="1"/>
      </w:numPr>
      <w:ind w:left="567" w:hanging="567"/>
      <w:outlineLvl w:val="6"/>
    </w:pPr>
  </w:style>
  <w:style w:type="paragraph" w:styleId="Heading8">
    <w:name w:val="heading 8"/>
    <w:basedOn w:val="Normal"/>
    <w:next w:val="Normal"/>
    <w:link w:val="Heading8Char"/>
    <w:qFormat/>
    <w:rsid w:val="001B28F7"/>
    <w:pPr>
      <w:numPr>
        <w:ilvl w:val="7"/>
        <w:numId w:val="1"/>
      </w:numPr>
      <w:ind w:left="567" w:hanging="567"/>
      <w:outlineLvl w:val="7"/>
    </w:pPr>
  </w:style>
  <w:style w:type="paragraph" w:styleId="Heading9">
    <w:name w:val="heading 9"/>
    <w:basedOn w:val="Normal"/>
    <w:next w:val="Normal"/>
    <w:link w:val="Heading9Char"/>
    <w:qFormat/>
    <w:rsid w:val="001B28F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szCs w:val="22"/>
      <w:lang w:val="en-US" w:eastAsia="en-US"/>
    </w:rPr>
  </w:style>
  <w:style w:type="character" w:customStyle="1" w:styleId="Heading2Char">
    <w:name w:val="Heading 2 Char"/>
    <w:basedOn w:val="DefaultParagraphFont"/>
    <w:link w:val="Heading2"/>
    <w:rsid w:val="009D66A8"/>
    <w:rPr>
      <w:sz w:val="22"/>
      <w:szCs w:val="22"/>
      <w:lang w:val="en-US" w:eastAsia="en-US"/>
    </w:rPr>
  </w:style>
  <w:style w:type="character" w:customStyle="1" w:styleId="Heading3Char">
    <w:name w:val="Heading 3 Char"/>
    <w:basedOn w:val="DefaultParagraphFont"/>
    <w:link w:val="Heading3"/>
    <w:rsid w:val="009D66A8"/>
    <w:rPr>
      <w:sz w:val="22"/>
      <w:szCs w:val="22"/>
      <w:lang w:val="en-US" w:eastAsia="en-US"/>
    </w:rPr>
  </w:style>
  <w:style w:type="character" w:customStyle="1" w:styleId="Heading4Char">
    <w:name w:val="Heading 4 Char"/>
    <w:basedOn w:val="DefaultParagraphFont"/>
    <w:link w:val="Heading4"/>
    <w:rsid w:val="009D66A8"/>
    <w:rPr>
      <w:sz w:val="22"/>
      <w:szCs w:val="22"/>
      <w:lang w:val="en-US" w:eastAsia="en-US"/>
    </w:rPr>
  </w:style>
  <w:style w:type="character" w:customStyle="1" w:styleId="Heading5Char">
    <w:name w:val="Heading 5 Char"/>
    <w:basedOn w:val="DefaultParagraphFont"/>
    <w:link w:val="Heading5"/>
    <w:rsid w:val="009D66A8"/>
    <w:rPr>
      <w:sz w:val="22"/>
      <w:szCs w:val="22"/>
      <w:lang w:val="en-US" w:eastAsia="en-US"/>
    </w:rPr>
  </w:style>
  <w:style w:type="character" w:customStyle="1" w:styleId="Heading6Char">
    <w:name w:val="Heading 6 Char"/>
    <w:basedOn w:val="DefaultParagraphFont"/>
    <w:link w:val="Heading6"/>
    <w:rsid w:val="009D66A8"/>
    <w:rPr>
      <w:sz w:val="22"/>
      <w:szCs w:val="22"/>
      <w:lang w:val="en-US" w:eastAsia="en-US"/>
    </w:rPr>
  </w:style>
  <w:style w:type="character" w:customStyle="1" w:styleId="Heading7Char">
    <w:name w:val="Heading 7 Char"/>
    <w:basedOn w:val="DefaultParagraphFont"/>
    <w:link w:val="Heading7"/>
    <w:rsid w:val="009D66A8"/>
    <w:rPr>
      <w:sz w:val="22"/>
      <w:szCs w:val="22"/>
      <w:lang w:val="en-US" w:eastAsia="en-US"/>
    </w:rPr>
  </w:style>
  <w:style w:type="character" w:customStyle="1" w:styleId="Heading8Char">
    <w:name w:val="Heading 8 Char"/>
    <w:basedOn w:val="DefaultParagraphFont"/>
    <w:link w:val="Heading8"/>
    <w:rsid w:val="009D66A8"/>
    <w:rPr>
      <w:sz w:val="22"/>
      <w:szCs w:val="22"/>
      <w:lang w:val="en-US" w:eastAsia="en-US"/>
    </w:rPr>
  </w:style>
  <w:style w:type="character" w:customStyle="1" w:styleId="Heading9Char">
    <w:name w:val="Heading 9 Char"/>
    <w:basedOn w:val="DefaultParagraphFont"/>
    <w:link w:val="Heading9"/>
    <w:rsid w:val="009D66A8"/>
    <w:rPr>
      <w:sz w:val="22"/>
      <w:szCs w:val="22"/>
      <w:lang w:val="en-US" w:eastAsia="en-US"/>
    </w:rPr>
  </w:style>
  <w:style w:type="paragraph" w:styleId="Footer">
    <w:name w:val="footer"/>
    <w:basedOn w:val="Normal"/>
    <w:link w:val="FooterChar"/>
    <w:qFormat/>
    <w:rsid w:val="001B28F7"/>
  </w:style>
  <w:style w:type="character" w:customStyle="1" w:styleId="FooterChar">
    <w:name w:val="Footer Char"/>
    <w:basedOn w:val="DefaultParagraphFont"/>
    <w:link w:val="Footer"/>
    <w:rsid w:val="009D66A8"/>
    <w:rPr>
      <w:sz w:val="22"/>
      <w:szCs w:val="22"/>
      <w:lang w:val="en-US" w:eastAsia="en-US"/>
    </w:rPr>
  </w:style>
  <w:style w:type="paragraph" w:styleId="FootnoteText">
    <w:name w:val="footnote text"/>
    <w:basedOn w:val="Normal"/>
    <w:link w:val="FootnoteTextChar"/>
    <w:qFormat/>
    <w:rsid w:val="001B28F7"/>
    <w:pPr>
      <w:keepLines/>
      <w:spacing w:after="60" w:line="240" w:lineRule="auto"/>
      <w:ind w:left="567" w:hanging="567"/>
    </w:pPr>
    <w:rPr>
      <w:sz w:val="16"/>
    </w:rPr>
  </w:style>
  <w:style w:type="character" w:customStyle="1" w:styleId="FootnoteTextChar">
    <w:name w:val="Footnote Text Char"/>
    <w:basedOn w:val="DefaultParagraphFont"/>
    <w:link w:val="FootnoteText"/>
    <w:rsid w:val="009D66A8"/>
    <w:rPr>
      <w:sz w:val="16"/>
      <w:szCs w:val="22"/>
      <w:lang w:val="en-US" w:eastAsia="en-US"/>
    </w:rPr>
  </w:style>
  <w:style w:type="paragraph" w:styleId="Header">
    <w:name w:val="header"/>
    <w:basedOn w:val="Normal"/>
    <w:link w:val="HeaderChar"/>
    <w:qFormat/>
    <w:rsid w:val="001B28F7"/>
  </w:style>
  <w:style w:type="character" w:customStyle="1" w:styleId="HeaderChar">
    <w:name w:val="Header Char"/>
    <w:basedOn w:val="DefaultParagraphFont"/>
    <w:link w:val="Header"/>
    <w:rsid w:val="009D66A8"/>
    <w:rPr>
      <w:sz w:val="22"/>
      <w:szCs w:val="22"/>
      <w:lang w:val="en-US" w:eastAsia="en-US"/>
    </w:rPr>
  </w:style>
  <w:style w:type="paragraph" w:customStyle="1" w:styleId="quotes">
    <w:name w:val="quotes"/>
    <w:basedOn w:val="Normal"/>
    <w:next w:val="Normal"/>
    <w:rsid w:val="001B28F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nhideWhenUsed/>
    <w:qFormat/>
    <w:rsid w:val="001B28F7"/>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Revision">
    <w:name w:val="Revision"/>
    <w:hidden/>
    <w:uiPriority w:val="99"/>
    <w:semiHidden/>
    <w:rsid w:val="00304FC4"/>
    <w:rPr>
      <w:sz w:val="22"/>
      <w:lang w:val="en-GB" w:eastAsia="en-US"/>
    </w:rPr>
  </w:style>
  <w:style w:type="table" w:styleId="TableGrid">
    <w:name w:val="Table Grid"/>
    <w:basedOn w:val="TableNormal"/>
    <w:rsid w:val="00883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735846">
      <w:bodyDiv w:val="1"/>
      <w:marLeft w:val="0"/>
      <w:marRight w:val="0"/>
      <w:marTop w:val="0"/>
      <w:marBottom w:val="0"/>
      <w:divBdr>
        <w:top w:val="none" w:sz="0" w:space="0" w:color="auto"/>
        <w:left w:val="none" w:sz="0" w:space="0" w:color="auto"/>
        <w:bottom w:val="none" w:sz="0" w:space="0" w:color="auto"/>
        <w:right w:val="none" w:sz="0" w:space="0" w:color="auto"/>
      </w:divBdr>
    </w:div>
    <w:div w:id="1341544169">
      <w:bodyDiv w:val="1"/>
      <w:marLeft w:val="0"/>
      <w:marRight w:val="0"/>
      <w:marTop w:val="0"/>
      <w:marBottom w:val="0"/>
      <w:divBdr>
        <w:top w:val="none" w:sz="0" w:space="0" w:color="auto"/>
        <w:left w:val="none" w:sz="0" w:space="0" w:color="auto"/>
        <w:bottom w:val="none" w:sz="0" w:space="0" w:color="auto"/>
        <w:right w:val="none" w:sz="0" w:space="0" w:color="auto"/>
      </w:divBdr>
    </w:div>
    <w:div w:id="188772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3.xml"/><Relationship Id="rId26" Type="http://schemas.openxmlformats.org/officeDocument/2006/relationships/hyperlink" Target="https://eur-lex.europa.eu/legal-content/EN/TXT/PDF/?uri=CELEX:52016IR0040" TargetMode="External"/><Relationship Id="rId39" Type="http://schemas.openxmlformats.org/officeDocument/2006/relationships/customXml" Target="../customXml/item3.xml"/><Relationship Id="rId21" Type="http://schemas.openxmlformats.org/officeDocument/2006/relationships/hyperlink" Target="https://eur-lex.europa.eu/legal-content/EN/TXT/PDF/?uri=CELEX:52019IR4647" TargetMode="Externa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eur-lex.europa.eu/legal-content/EN/TXT/PDF/?uri=CELEX:52017AR1528&amp;from=LV" TargetMode="External"/><Relationship Id="rId33" Type="http://schemas.openxmlformats.org/officeDocument/2006/relationships/header" Target="header6.xml"/><Relationship Id="rId38"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ur-lex.europa.eu/legal-content/EN/TXT/PDF/?uri=CELEX:52021IR3533" TargetMode="External"/><Relationship Id="rId29" Type="http://schemas.openxmlformats.org/officeDocument/2006/relationships/header" Target="header4.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EN/TXT/PDF/?uri=CELEX:52017AR3138" TargetMode="External"/><Relationship Id="rId32" Type="http://schemas.openxmlformats.org/officeDocument/2006/relationships/footer" Target="footer5.xml"/><Relationship Id="rId37" Type="http://schemas.openxmlformats.org/officeDocument/2006/relationships/customXml" Target="../customXml/item1.xml"/><Relationship Id="rId40"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yperlink" Target="https://eur-lex.europa.eu/LexUriServ/LexUriServ.do?uri=OJ:C:2012:225:0046:0051:EN:PDF" TargetMode="External"/><Relationship Id="rId28" Type="http://schemas.openxmlformats.org/officeDocument/2006/relationships/hyperlink" Target="https://eur-lex.europa.eu/LexUriServ/LexUriServ.do?uri=OJ:C:2010:232:0007:0013:EN: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eur-lex.europa.eu/legal-content/EN/TXT/PDF/?uri=CELEX:52019IR4645&amp;rid=2" TargetMode="External"/><Relationship Id="rId27" Type="http://schemas.openxmlformats.org/officeDocument/2006/relationships/hyperlink" Target="https://eur-lex.europa.eu/legal-content/EN/TXT/PDF/?uri=CELEX:52012IR0056" TargetMode="Externa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statistics-explained/index.php?title=Statistics_on_young_people_neither_in_employment_nor_in_education_or_training" TargetMode="External"/><Relationship Id="rId13" Type="http://schemas.openxmlformats.org/officeDocument/2006/relationships/hyperlink" Target="https://www.consilium.europa.eu/media/ny3j24sm/much-more-than-a-market-report-by-enrico-letta.pdf" TargetMode="External"/><Relationship Id="rId18" Type="http://schemas.openxmlformats.org/officeDocument/2006/relationships/hyperlink" Target="https://eur-lex.europa.eu/legal-content/EN/TXT/?uri=CELEX%3A52023DC0577" TargetMode="External"/><Relationship Id="rId3" Type="http://schemas.openxmlformats.org/officeDocument/2006/relationships/hyperlink" Target="https://commission.europa.eu/system/files/2023-01/the_impact_of_demographic_change_in_a_changing_environment_2023.PDF" TargetMode="External"/><Relationship Id="rId7" Type="http://schemas.openxmlformats.org/officeDocument/2006/relationships/hyperlink" Target="https://eur-lex.europa.eu/legal-content/EN/TXT/?uri=CELEX%3A52023DC0577" TargetMode="External"/><Relationship Id="rId12" Type="http://schemas.openxmlformats.org/officeDocument/2006/relationships/hyperlink" Target="https://eur-lex.europa.eu/legal-content/EN/TXT/PDF/?uri=CELEX:52019IR4645" TargetMode="External"/><Relationship Id="rId17" Type="http://schemas.openxmlformats.org/officeDocument/2006/relationships/hyperlink" Target="https://data.consilium.europa.eu/doc/document/ST-7-2023-INIT/en/pdf" TargetMode="External"/><Relationship Id="rId2" Type="http://schemas.openxmlformats.org/officeDocument/2006/relationships/hyperlink" Target="https://eur-lex.europa.eu/legal-content/en/ALL/?uri=CELEX:52023DC0032" TargetMode="External"/><Relationship Id="rId16" Type="http://schemas.openxmlformats.org/officeDocument/2006/relationships/hyperlink" Target="https://data.consilium.europa.eu/doc/document/ST-16754-2023-INIT/en/pdf" TargetMode="External"/><Relationship Id="rId1" Type="http://schemas.openxmlformats.org/officeDocument/2006/relationships/hyperlink" Target="https://ec.europa.eu/eurostat/statistics-explained/index.php?title=Migration_and_migrant_population_statistics" TargetMode="External"/><Relationship Id="rId6" Type="http://schemas.openxmlformats.org/officeDocument/2006/relationships/hyperlink" Target="https://commission.europa.eu/system/files/2023-01/Demography_report_2022_0.pdf" TargetMode="External"/><Relationship Id="rId11" Type="http://schemas.openxmlformats.org/officeDocument/2006/relationships/hyperlink" Target="https://eur-lex.europa.eu/legal-content/EN/TXT/PDF/?uri=CELEX:52019IR0015" TargetMode="External"/><Relationship Id="rId5" Type="http://schemas.openxmlformats.org/officeDocument/2006/relationships/hyperlink" Target="https://ec.europa.eu/eurostat/statistics-explained/index.php?title=Fertility_statistics" TargetMode="External"/><Relationship Id="rId15" Type="http://schemas.openxmlformats.org/officeDocument/2006/relationships/hyperlink" Target="https://eur-lex.europa.eu/legal-content/EN/TXT/?uri=CELEX%3A52023DC0577" TargetMode="External"/><Relationship Id="rId10" Type="http://schemas.openxmlformats.org/officeDocument/2006/relationships/hyperlink" Target="https://eur-lex.europa.eu/legal-content/EN/TXT/?uri=CELEX%3A52023DC0577" TargetMode="External"/><Relationship Id="rId4" Type="http://schemas.openxmlformats.org/officeDocument/2006/relationships/hyperlink" Target="https://commission.europa.eu/system/files/2023-01/Demography_report_2022_0.pdf" TargetMode="External"/><Relationship Id="rId9" Type="http://schemas.openxmlformats.org/officeDocument/2006/relationships/hyperlink" Target="https://eur-lex.europa.eu/legal-content/EN/TXT/PDF/?uri=CELEX:52020IR3454" TargetMode="External"/><Relationship Id="rId14" Type="http://schemas.openxmlformats.org/officeDocument/2006/relationships/hyperlink" Target="https://op.europa.eu/en/publication-detail/-/publication/8aa91321-40d5-11eb-b27b-01aa75ed71a1/language-en/format-PDF/sourc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2d46f94-43c6-4a12-989f-74dddb81bcce">VTJTVCCZRNCJ-1813944616-10472</_dlc_DocId>
    <_dlc_DocIdUrl xmlns="a2d46f94-43c6-4a12-989f-74dddb81bcce">
      <Url>http://dm/cor/2024/_layouts/15/DocIdRedir.aspx?ID=VTJTVCCZRNCJ-1813944616-10472</Url>
      <Description>VTJTVCCZRNCJ-1813944616-10472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a2d46f94-43c6-4a12-989f-74dddb81bcc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a2d46f94-43c6-4a12-989f-74dddb81bcce">2024-10-23T12:00:00+00:00</ProductionDate>
    <FicheYear xmlns="a2d46f94-43c6-4a12-989f-74dddb81bcce" xsi:nil="true"/>
    <DocumentNumber xmlns="cfa3a6fd-3881-4b95-8aab-4a7e356ebcf9">1173</DocumentNumber>
    <DossierNumber xmlns="a2d46f94-43c6-4a12-989f-74dddb81bcce">47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a2d46f94-43c6-4a12-989f-74dddb81bcce" xsi:nil="true"/>
    <TaxCatchAll xmlns="a2d46f94-43c6-4a12-989f-74dddb81bcce">
      <Value>67</Value>
      <Value>21</Value>
      <Value>28</Value>
      <Value>23</Value>
      <Value>25</Value>
      <Value>7</Value>
      <Value>6</Value>
      <Value>103</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a2d46f94-43c6-4a12-989f-74dddb81bcce">KARÁCSONY</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a2d46f94-43c6-4a12-989f-74dddb81bcce">2024</DocumentYear>
    <FicheNumber xmlns="a2d46f94-43c6-4a12-989f-74dddb81bcce">9946</FicheNumber>
    <OriginalSender xmlns="a2d46f94-43c6-4a12-989f-74dddb81bcce">
      <UserInfo>
        <DisplayName>TDriveSVCUserProd</DisplayName>
        <AccountId>1388</AccountId>
        <AccountType/>
      </UserInfo>
    </OriginalSender>
    <DocumentPart xmlns="a2d46f94-43c6-4a12-989f-74dddb81bcce">0</DocumentPart>
    <AdoptionDate xmlns="a2d46f94-43c6-4a12-989f-74dddb81bcce">2024-10-09T12:00:00+00:00</AdoptionDate>
    <RequestingService xmlns="a2d46f94-43c6-4a12-989f-74dddb81bcce">Commission SEDEC</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fa3a6fd-3881-4b95-8aab-4a7e356ebcf9"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SEDEC-VII</TermName>
          <TermId xmlns="http://schemas.microsoft.com/office/infopath/2007/PartnerControls">0046969d-369a-440d-a268-b327dcb4242b</TermId>
        </TermInfo>
      </Terms>
    </DossierName_0>
    <DocumentVersion xmlns="a2d46f94-43c6-4a12-989f-74dddb81bcce">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6DBC8D83B292D94FB303C67A8DD2344C" ma:contentTypeVersion="4" ma:contentTypeDescription="Defines the documents for Document Manager V2" ma:contentTypeScope="" ma:versionID="3d9b2bf19a7378f525be3c75e26fa2ca">
  <xsd:schema xmlns:xsd="http://www.w3.org/2001/XMLSchema" xmlns:xs="http://www.w3.org/2001/XMLSchema" xmlns:p="http://schemas.microsoft.com/office/2006/metadata/properties" xmlns:ns2="a2d46f94-43c6-4a12-989f-74dddb81bcce" xmlns:ns3="http://schemas.microsoft.com/sharepoint/v3/fields" xmlns:ns4="cfa3a6fd-3881-4b95-8aab-4a7e356ebcf9" targetNamespace="http://schemas.microsoft.com/office/2006/metadata/properties" ma:root="true" ma:fieldsID="0d8c52737b39479b75d0ae2e291fb43f" ns2:_="" ns3:_="" ns4:_="">
    <xsd:import namespace="a2d46f94-43c6-4a12-989f-74dddb81bcce"/>
    <xsd:import namespace="http://schemas.microsoft.com/sharepoint/v3/fields"/>
    <xsd:import namespace="cfa3a6fd-3881-4b95-8aab-4a7e356ebcf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6f94-43c6-4a12-989f-74dddb81bc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ff9964be-ef63-475c-9d52-2f2c8f95332d}" ma:internalName="TaxCatchAll" ma:showField="CatchAllData" ma:web="a2d46f94-43c6-4a12-989f-74dddb81bcce">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ff9964be-ef63-475c-9d52-2f2c8f95332d}" ma:internalName="TaxCatchAllLabel" ma:readOnly="true" ma:showField="CatchAllDataLabel" ma:web="a2d46f94-43c6-4a12-989f-74dddb81bcce">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a3a6fd-3881-4b95-8aab-4a7e356ebcf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FE3BB-2C08-468B-A5CE-1DB59A6B2046}"/>
</file>

<file path=customXml/itemProps2.xml><?xml version="1.0" encoding="utf-8"?>
<ds:datastoreItem xmlns:ds="http://schemas.openxmlformats.org/officeDocument/2006/customXml" ds:itemID="{DB17B83F-67EB-4A8B-B0A9-0D8E0EA06173}"/>
</file>

<file path=customXml/itemProps3.xml><?xml version="1.0" encoding="utf-8"?>
<ds:datastoreItem xmlns:ds="http://schemas.openxmlformats.org/officeDocument/2006/customXml" ds:itemID="{F8FDAEDE-7B8C-4F7D-AA35-F10504A5FF3F}"/>
</file>

<file path=customXml/itemProps4.xml><?xml version="1.0" encoding="utf-8"?>
<ds:datastoreItem xmlns:ds="http://schemas.openxmlformats.org/officeDocument/2006/customXml" ds:itemID="{4F0D512D-ABC6-49CE-8A88-9F31F2625048}"/>
</file>

<file path=docProps/app.xml><?xml version="1.0" encoding="utf-8"?>
<Properties xmlns="http://schemas.openxmlformats.org/officeDocument/2006/extended-properties" xmlns:vt="http://schemas.openxmlformats.org/officeDocument/2006/docPropsVTypes">
  <Template>Normal</Template>
  <TotalTime>0</TotalTime>
  <Pages>2</Pages>
  <Words>5631</Words>
  <Characters>32101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Demographic change in Europe: a toolbox for action</vt:lpstr>
    </vt:vector>
  </TitlesOfParts>
  <Company>CESE-CdR</Company>
  <LinksUpToDate>false</LinksUpToDate>
  <CharactersWithSpaces>37657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Demographic change in Europe: a toolbox for action</dc:title>
  <dc:subject>Committee opinion</dc:subject>
  <dc:creator>Emma Nieddu</dc:creator>
  <cp:keywords>COR-2024-01173-00-00-AC-TRA-EN</cp:keywords>
  <dc:description>Rapporteur: - KARÁCSONY Original language: - EN Date of document: - 23/10/2024 Date of meeting: -  External documents: - COM(2023)577 Administrator responsible: - M. TSIRIMIAGOS Kyriakos</dc:description>
  <cp:lastModifiedBy>TDriveSVCUserProd</cp:lastModifiedBy>
  <cp:revision>6</cp:revision>
  <cp:lastPrinted>2024-05-22T08:02:00Z</cp:lastPrinted>
  <dcterms:created xsi:type="dcterms:W3CDTF">2024-10-23T13:51:00Z</dcterms:created>
  <dcterms:modified xsi:type="dcterms:W3CDTF">2024-10-23T13:52:00Z</dcterms:modified>
  <cp:category>SEDEC-VII/47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23/10/2024, 16/07/2024, 08/07/2024, 03/06/2024, 29/05/2024</vt:lpwstr>
  </property>
  <property fmtid="{D5CDD505-2E9C-101B-9397-08002B2CF9AE}" pid="4" name="Pref_Time">
    <vt:lpwstr>15:45:06, 15:13:53, 16:09:27, 15:34:27, 17:15:43</vt:lpwstr>
  </property>
  <property fmtid="{D5CDD505-2E9C-101B-9397-08002B2CF9AE}" pid="5" name="Pref_User">
    <vt:lpwstr>amett, pacup, pacup, amett, jhvi</vt:lpwstr>
  </property>
  <property fmtid="{D5CDD505-2E9C-101B-9397-08002B2CF9AE}" pid="6" name="Pref_FileName">
    <vt:lpwstr>COR-2024-01173-00-00-AC-TRA-EN-CRR.docx, COR-2024-01173-00-01-PAC-TRA.docx, cor-2024-01173-00-00-pac-ori.docx, COR-2024-01173-00-01-PA-TRA.docx, COR-2024-01173-00-00-PA-TRA-EN-CRR.docx</vt:lpwstr>
  </property>
  <property fmtid="{D5CDD505-2E9C-101B-9397-08002B2CF9AE}" pid="7" name="ContentTypeId">
    <vt:lpwstr>0x010100EA97B91038054C99906057A708A1480A006DBC8D83B292D94FB303C67A8DD2344C</vt:lpwstr>
  </property>
  <property fmtid="{D5CDD505-2E9C-101B-9397-08002B2CF9AE}" pid="8" name="_dlc_DocIdItemGuid">
    <vt:lpwstr>07caf3f1-32c0-4cc7-8c6d-0ec3730447d8</vt:lpwstr>
  </property>
  <property fmtid="{D5CDD505-2E9C-101B-9397-08002B2CF9AE}" pid="9" name="AvailableTranslations">
    <vt:lpwstr>4;#EN|f2175f21-25d7-44a3-96da-d6a61b075e1b;#28;#IT|0774613c-01ed-4e5d-a25d-11d2388de825;#25;#PL|1e03da61-4678-4e07-b136-b5024ca9197b;#23;#ES|e7a6b05b-ae16-40c8-add9-68b64b03aeba</vt:lpwstr>
  </property>
  <property fmtid="{D5CDD505-2E9C-101B-9397-08002B2CF9AE}" pid="10" name="DocumentType_0">
    <vt:lpwstr>AC|a4cc1d15-fb08-4679-ad46-e4e0cba5fe92</vt:lpwstr>
  </property>
  <property fmtid="{D5CDD505-2E9C-101B-9397-08002B2CF9AE}" pid="11" name="DossierName_0">
    <vt:lpwstr>SEDEC-VII|0046969d-369a-440d-a268-b327dcb4242b</vt:lpwstr>
  </property>
  <property fmtid="{D5CDD505-2E9C-101B-9397-08002B2CF9AE}" pid="12" name="DocumentSource_0">
    <vt:lpwstr>CoR|cb2d75ef-4a7d-4393-b797-49ed6298a5ea</vt:lpwstr>
  </property>
  <property fmtid="{D5CDD505-2E9C-101B-9397-08002B2CF9AE}" pid="13" name="DocumentNumber">
    <vt:i4>1173</vt:i4>
  </property>
  <property fmtid="{D5CDD505-2E9C-101B-9397-08002B2CF9AE}" pid="14" name="FicheYear">
    <vt:i4>2024</vt:i4>
  </property>
  <property fmtid="{D5CDD505-2E9C-101B-9397-08002B2CF9AE}" pid="15" name="DocumentVersion">
    <vt:i4>0</vt:i4>
  </property>
  <property fmtid="{D5CDD505-2E9C-101B-9397-08002B2CF9AE}" pid="16" name="DossierNumber">
    <vt:i4>47</vt:i4>
  </property>
  <property fmtid="{D5CDD505-2E9C-101B-9397-08002B2CF9AE}" pid="17" name="DocumentStatus">
    <vt:lpwstr>7;#TRA|150d2a88-1431-44e6-a8ca-0bb753ab8672</vt:lpwstr>
  </property>
  <property fmtid="{D5CDD505-2E9C-101B-9397-08002B2CF9AE}" pid="18" name="DossierName">
    <vt:lpwstr>67;#SEDEC-VII|0046969d-369a-440d-a268-b327dcb4242b</vt:lpwstr>
  </property>
  <property fmtid="{D5CDD505-2E9C-101B-9397-08002B2CF9AE}" pid="19" name="RequestingService">
    <vt:lpwstr>Commission SEDEC</vt:lpwstr>
  </property>
  <property fmtid="{D5CDD505-2E9C-101B-9397-08002B2CF9AE}" pid="20" name="Confidentiality">
    <vt:lpwstr>21;#Unrestricted|826e22d7-d029-4ec0-a450-0c28ff673572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67;#SEDEC-VII|0046969d-369a-440d-a268-b327dcb4242b;#21;#Unrestricted|826e22d7-d029-4ec0-a450-0c28ff673572;#7;#TRA|150d2a88-1431-44e6-a8ca-0bb753ab8672;#6;#Final|ea5e6674-7b27-4bac-b091-73adbb394efe;#103;#AC|a4cc1d15-fb08-4679-ad46-e4e0cba5fe92;#4;#EN|f2175f21-25d7-44a3-96da-d6a61b075e1b;#1;#CoR|cb2d75ef-4a7d-4393-b797-49ed6298a5ea</vt:lpwstr>
  </property>
  <property fmtid="{D5CDD505-2E9C-101B-9397-08002B2CF9AE}" pid="30" name="Rapporteur">
    <vt:lpwstr>KARÁCSONY</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2024</vt:i4>
  </property>
  <property fmtid="{D5CDD505-2E9C-101B-9397-08002B2CF9AE}" pid="34" name="FicheNumber">
    <vt:i4>9946</vt:i4>
  </property>
  <property fmtid="{D5CDD505-2E9C-101B-9397-08002B2CF9AE}" pid="35" name="DocumentPart">
    <vt:i4>0</vt:i4>
  </property>
  <property fmtid="{D5CDD505-2E9C-101B-9397-08002B2CF9AE}" pid="36" name="DocumentSource">
    <vt:lpwstr>1;#CoR|cb2d75ef-4a7d-4393-b797-49ed6298a5ea</vt:lpwstr>
  </property>
  <property fmtid="{D5CDD505-2E9C-101B-9397-08002B2CF9AE}" pid="37" name="AdoptionDate">
    <vt:filetime>2024-10-09T12:00:00Z</vt:filetime>
  </property>
  <property fmtid="{D5CDD505-2E9C-101B-9397-08002B2CF9AE}" pid="38" name="DocumentType">
    <vt:lpwstr>103;#AC|a4cc1d15-fb08-4679-ad46-e4e0cba5fe92</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