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9" w:type="dxa"/>
        <w:tblLayout w:type="fixed"/>
        <w:tblLook w:val="0000" w:firstRow="0" w:lastRow="0" w:firstColumn="0" w:lastColumn="0" w:noHBand="0" w:noVBand="0"/>
      </w:tblPr>
      <w:tblGrid>
        <w:gridCol w:w="4644"/>
        <w:gridCol w:w="4645"/>
      </w:tblGrid>
      <w:tr w:rsidR="00A81B47" w14:paraId="64DE5D81" w14:textId="77777777">
        <w:trPr>
          <w:cantSplit/>
        </w:trPr>
        <w:tc>
          <w:tcPr>
            <w:tcW w:w="4644" w:type="dxa"/>
          </w:tcPr>
          <w:p w:rsidR="00A81B47" w:rsidP="00C1355C" w:rsidRDefault="005106FD" w14:paraId="32ED68E8" w14:textId="77777777">
            <w:bookmarkStart w:name="_GoBack" w:id="0"/>
            <w:bookmarkEnd w:id="0"/>
            <w:r>
              <w:rPr>
                <w:noProof/>
                <w:lang w:val="en-US"/>
              </w:rPr>
              <w:drawing>
                <wp:inline distT="0" distB="0" distL="0" distR="0" wp14:anchorId="4843ED05" wp14:editId="70E8C5C2">
                  <wp:extent cx="1800000" cy="1559336"/>
                  <wp:effectExtent l="0" t="0" r="0" b="3175"/>
                  <wp:docPr id="37" name="Picture 37" descr="C:\Users\mreg\Music\New LOGO\Logo\logo_CoR-vertical-positive-en-quadri_MR.jpg" title="CoRLogo_EN">
                    <a:extLst xmlns:a="http://schemas.openxmlformats.org/drawingml/2006/main">
                      <a:ext uri="{FF2B5EF4-FFF2-40B4-BE49-F238E27FC236}">
                        <a16:creationId xmlns:a16="http://schemas.microsoft.com/office/drawing/2014/main" id="{F398659D-F6C1-4DA6-9CFC-2C5CE0C079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rsidR="00A81B47" w:rsidP="00C1355C" w:rsidRDefault="00A81B47" w14:paraId="58DE57E2" w14:textId="77777777"/>
        </w:tc>
      </w:tr>
      <w:tr w:rsidR="00A81B47" w14:paraId="7F36EBAD" w14:textId="77777777">
        <w:trPr>
          <w:cantSplit/>
        </w:trPr>
        <w:tc>
          <w:tcPr>
            <w:tcW w:w="9289" w:type="dxa"/>
            <w:gridSpan w:val="2"/>
          </w:tcPr>
          <w:p w:rsidR="00A81B47" w:rsidP="00C1355C" w:rsidRDefault="005106FD" w14:paraId="41B606FD" w14:textId="5E3939D5">
            <w:pPr>
              <w:jc w:val="right"/>
              <w:rPr>
                <w:b/>
                <w:bCs/>
                <w:sz w:val="28"/>
              </w:rPr>
            </w:pPr>
            <w:r>
              <w:rPr>
                <w:b/>
                <w:bCs/>
                <w:sz w:val="28"/>
              </w:rPr>
              <w:t>ECON-VIII/017</w:t>
            </w:r>
          </w:p>
        </w:tc>
      </w:tr>
      <w:tr w:rsidR="00A81B47" w14:paraId="20087946" w14:textId="77777777">
        <w:trPr>
          <w:cantSplit/>
        </w:trPr>
        <w:tc>
          <w:tcPr>
            <w:tcW w:w="9289" w:type="dxa"/>
            <w:gridSpan w:val="2"/>
          </w:tcPr>
          <w:p w:rsidR="00A81B47" w:rsidP="00C1355C" w:rsidRDefault="005106FD" w14:paraId="0226A805" w14:textId="68A9B806">
            <w:pPr>
              <w:jc w:val="center"/>
              <w:rPr>
                <w:b/>
                <w:bCs/>
                <w:sz w:val="28"/>
              </w:rPr>
            </w:pPr>
            <w:r>
              <w:rPr>
                <w:b/>
                <w:bCs/>
                <w:sz w:val="28"/>
                <w:szCs w:val="18"/>
              </w:rPr>
              <w:t>172nd plenary session, 1-2 July 2026</w:t>
            </w:r>
          </w:p>
        </w:tc>
      </w:tr>
    </w:tbl>
    <w:p w:rsidR="00A81B47" w:rsidP="00C1355C" w:rsidRDefault="00A81B47" w14:paraId="04D91154" w14:textId="77777777">
      <w:pPr>
        <w:rPr>
          <w:sz w:val="28"/>
          <w:szCs w:val="28"/>
        </w:rPr>
      </w:pPr>
    </w:p>
    <w:p w:rsidR="00A81B47" w:rsidP="00C1355C" w:rsidRDefault="005106FD" w14:paraId="167A6982" w14:textId="24684D66">
      <w:pPr>
        <w:jc w:val="center"/>
        <w:rPr>
          <w:b/>
          <w:bCs/>
          <w:sz w:val="28"/>
        </w:rPr>
      </w:pPr>
      <w:r>
        <w:rPr>
          <w:b/>
          <w:bCs/>
          <w:sz w:val="28"/>
        </w:rPr>
        <w:t>OPINION</w:t>
      </w:r>
    </w:p>
    <w:p w:rsidR="00A81B47" w:rsidP="00C1355C" w:rsidRDefault="005106FD" w14:paraId="613EF4A8" w14:textId="348916BB">
      <w:pPr>
        <w:rPr>
          <w:sz w:val="28"/>
          <w:szCs w:val="28"/>
        </w:rPr>
      </w:pPr>
      <w:r>
        <w:rPr>
          <w:noProof/>
          <w:sz w:val="20"/>
          <w:lang w:val="en-US"/>
        </w:rPr>
        <mc:AlternateContent>
          <mc:Choice Requires="wps">
            <w:drawing>
              <wp:anchor distT="0" distB="0" distL="114300" distR="114300" simplePos="0" relativeHeight="251660288" behindDoc="1" locked="0" layoutInCell="0" allowOverlap="1" wp14:editId="1DCAD6D7" wp14:anchorId="08D2E5E9">
                <wp:simplePos x="0" y="0"/>
                <wp:positionH relativeFrom="page">
                  <wp:posOffset>6769100</wp:posOffset>
                </wp:positionH>
                <wp:positionV relativeFrom="page">
                  <wp:posOffset>10081260</wp:posOffset>
                </wp:positionV>
                <wp:extent cx="647700" cy="396240"/>
                <wp:effectExtent l="0" t="3810" r="3175" b="0"/>
                <wp:wrapNone/>
                <wp:docPr id="20" name="Text Box 17">
                  <a:extLst xmlns:a="http://schemas.openxmlformats.org/drawingml/2006/main">
                    <a:ext uri="{FF2B5EF4-FFF2-40B4-BE49-F238E27FC236}">
                      <a16:creationId xmlns:a16="http://schemas.microsoft.com/office/drawing/2014/main" id="{D4CF4D0C-B598-432B-BC9A-C2F5099F00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B47" w:rsidRDefault="005106FD" w14:paraId="508A79D0"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D2E5E9">
                <v:stroke joinstyle="miter"/>
                <v:path gradientshapeok="t" o:connecttype="rect"/>
              </v:shapetype>
              <v:shape id="Text Box 17"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">
                <v:textbox>
                  <w:txbxContent>
                    <w:p w:rsidR="00A81B47" w:rsidRDefault="005106FD" w14:paraId="508A79D0"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A81B47" w:rsidP="00C1355C" w:rsidRDefault="005106FD" w14:paraId="45DB1784" w14:textId="1FEB8E0B">
      <w:pPr>
        <w:jc w:val="center"/>
        <w:rPr>
          <w:sz w:val="28"/>
          <w:szCs w:val="28"/>
        </w:rPr>
      </w:pPr>
      <w:r>
        <w:rPr>
          <w:b/>
          <w:bCs/>
          <w:sz w:val="28"/>
          <w:szCs w:val="28"/>
        </w:rPr>
        <w:t>The ‘EU INC’ Corporate Legal Framework</w:t>
      </w:r>
    </w:p>
    <w:p w:rsidR="00A81B47" w:rsidP="00C1355C" w:rsidRDefault="005106FD" w14:paraId="53136694" w14:textId="24075FBE">
      <w:r>
        <w:rPr>
          <w:noProof/>
          <w:lang w:val="en-US"/>
        </w:rPr>
        <w:drawing>
          <wp:anchor distT="0" distB="0" distL="114300" distR="114300" simplePos="0" relativeHeight="251657216" behindDoc="0" locked="0" layoutInCell="1" allowOverlap="1" wp14:editId="5FACB2D6" wp14:anchorId="3FCABC75">
            <wp:simplePos x="0" y="0"/>
            <wp:positionH relativeFrom="column">
              <wp:posOffset>-54107</wp:posOffset>
            </wp:positionH>
            <wp:positionV relativeFrom="page">
              <wp:posOffset>10216966</wp:posOffset>
            </wp:positionV>
            <wp:extent cx="5759450" cy="272415"/>
            <wp:effectExtent l="0" t="0" r="0" b="0"/>
            <wp:wrapSquare wrapText="bothSides"/>
            <wp:docPr id="1" name="Picture 1">
              <a:extLst xmlns:a="http://schemas.openxmlformats.org/drawingml/2006/main">
                <a:ext uri="{FF2B5EF4-FFF2-40B4-BE49-F238E27FC236}">
                  <a16:creationId xmlns:a16="http://schemas.microsoft.com/office/drawing/2014/main" id="{874DA430-E872-4090-8C29-DB303121C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Look w:val="06A0" w:firstRow="1" w:lastRow="0" w:firstColumn="1" w:lastColumn="0" w:noHBand="1" w:noVBand="1"/>
      </w:tblPr>
      <w:tblGrid>
        <w:gridCol w:w="9289"/>
      </w:tblGrid>
      <w:tr w:rsidR="00A81B47" w14:paraId="1BADA304" w14:textId="77777777">
        <w:trPr>
          <w:trHeight w:val="300"/>
        </w:trPr>
        <w:tc>
          <w:tcPr>
            <w:tcW w:w="9289" w:type="dxa"/>
            <w:tcBorders>
              <w:top w:val="single" w:color="auto" w:sz="8" w:space="0"/>
              <w:left w:val="single" w:color="auto" w:sz="8" w:space="0"/>
              <w:bottom w:val="single" w:color="auto" w:sz="8" w:space="0"/>
              <w:right w:val="single" w:color="auto" w:sz="8" w:space="0"/>
            </w:tcBorders>
            <w:tcMar>
              <w:left w:w="108" w:type="dxa"/>
              <w:right w:w="108" w:type="dxa"/>
            </w:tcMar>
          </w:tcPr>
          <w:p w:rsidR="00A81B47" w:rsidP="00C1355C" w:rsidRDefault="005106FD" w14:paraId="0AA0893B" w14:textId="77777777">
            <w:pPr>
              <w:jc w:val="left"/>
              <w:rPr>
                <w:iCs/>
                <w:color w:val="000000"/>
              </w:rPr>
            </w:pPr>
            <w:r>
              <w:rPr>
                <w:iCs/>
                <w:color w:val="000000"/>
              </w:rPr>
              <w:t>THE EUROPEAN COMMITTEE OF THE REGIONS (CoR)</w:t>
            </w:r>
          </w:p>
          <w:p w:rsidR="00A81B47" w:rsidP="00C1355C" w:rsidRDefault="00A81B47" w14:paraId="111D25D9" w14:textId="77777777">
            <w:pPr>
              <w:jc w:val="left"/>
              <w:rPr>
                <w:iCs/>
                <w:color w:val="000000"/>
                <w:u w:val="single"/>
              </w:rPr>
            </w:pPr>
          </w:p>
          <w:p w:rsidR="00A81B47" w:rsidP="00C1355C" w:rsidRDefault="005106FD" w14:paraId="2641BA78" w14:textId="77777777">
            <w:pPr>
              <w:numPr>
                <w:ilvl w:val="0"/>
                <w:numId w:val="27"/>
              </w:numPr>
              <w:overflowPunct/>
              <w:autoSpaceDE/>
              <w:autoSpaceDN/>
              <w:adjustRightInd/>
              <w:ind w:left="567" w:hanging="567"/>
              <w:contextualSpacing/>
              <w:textAlignment w:val="auto"/>
              <w:rPr>
                <w:iCs/>
                <w:color w:val="000000"/>
                <w:u w:val="single"/>
              </w:rPr>
            </w:pPr>
            <w:r>
              <w:t>stresses that strengthening European competitiveness is an urgent priority in an increasingly volatile global environment; calls on Member States and EU institutions to accelerate the implementation of structural reforms needed to attract investment and prevent the outflow of talent and capital from the EU;</w:t>
            </w:r>
          </w:p>
          <w:p w:rsidR="00A81B47" w:rsidP="00C1355C" w:rsidRDefault="005106FD" w14:paraId="429B4FC1" w14:textId="77777777">
            <w:pPr>
              <w:numPr>
                <w:ilvl w:val="0"/>
                <w:numId w:val="27"/>
              </w:numPr>
              <w:overflowPunct/>
              <w:autoSpaceDE/>
              <w:autoSpaceDN/>
              <w:adjustRightInd/>
              <w:ind w:left="567" w:hanging="567"/>
              <w:contextualSpacing/>
              <w:textAlignment w:val="auto"/>
            </w:pPr>
            <w:r>
              <w:t>welcomes the Commission’s commitment to developing a 28th-regime framework for companies as part of broader efforts to deepen Single Market integration, in line with the Draghi and Letta reports, the EU Startup and Scaleup Strategy and the One Europe, One Market Roadmap;</w:t>
            </w:r>
          </w:p>
          <w:p w:rsidR="00A81B47" w:rsidP="00C1355C" w:rsidRDefault="005106FD" w14:paraId="5B4F87DD" w14:textId="77777777">
            <w:pPr>
              <w:numPr>
                <w:ilvl w:val="0"/>
                <w:numId w:val="27"/>
              </w:numPr>
              <w:overflowPunct/>
              <w:autoSpaceDE/>
              <w:autoSpaceDN/>
              <w:adjustRightInd/>
              <w:ind w:left="567" w:hanging="567"/>
              <w:contextualSpacing/>
              <w:textAlignment w:val="auto"/>
            </w:pPr>
            <w:r>
              <w:t>welcomes the EU Inc. Regulation as a pragmatic initiative capable of simplifying and digitalising incorporation and business operations, while preserving national competences in sensitive areas such as labour, social and tax law, in line with the subsidiarity principle;</w:t>
            </w:r>
          </w:p>
          <w:p w:rsidR="00A81B47" w:rsidP="00C1355C" w:rsidRDefault="005106FD" w14:paraId="151C0094" w14:textId="77777777">
            <w:pPr>
              <w:numPr>
                <w:ilvl w:val="0"/>
                <w:numId w:val="27"/>
              </w:numPr>
              <w:overflowPunct/>
              <w:autoSpaceDE/>
              <w:autoSpaceDN/>
              <w:adjustRightInd/>
              <w:ind w:left="567" w:hanging="567"/>
              <w:contextualSpacing/>
              <w:textAlignment w:val="auto"/>
            </w:pPr>
            <w:r>
              <w:t>supports the broad scope of the initiative, covering all businesses, and underlines the need for a level playing field, ensuring that startups, scaleups and established companies can expand seamlessly across the Single Market under fair conditions; calls on the Commission to ensure that the 28th regime is designed to be effectively accessible and operationally relevant for all types of enterprises throughout their entire life cycle;</w:t>
            </w:r>
          </w:p>
          <w:p w:rsidR="00A81B47" w:rsidP="00C1355C" w:rsidRDefault="005106FD" w14:paraId="6E4EF8B1" w14:textId="77777777">
            <w:pPr>
              <w:numPr>
                <w:ilvl w:val="0"/>
                <w:numId w:val="27"/>
              </w:numPr>
              <w:overflowPunct/>
              <w:autoSpaceDE/>
              <w:autoSpaceDN/>
              <w:adjustRightInd/>
              <w:ind w:left="567" w:hanging="567"/>
              <w:contextualSpacing/>
              <w:textAlignment w:val="auto"/>
            </w:pPr>
            <w:r>
              <w:t>stresses, that the value of EU Inc. lies not only in faster registration procedures, but also in reducing cross-border burdens, improving access to capital, increasing legal certainty and simplifying the business life cycle;</w:t>
            </w:r>
          </w:p>
          <w:p w:rsidR="00A81B47" w:rsidP="00C1355C" w:rsidRDefault="005106FD" w14:paraId="66A790B7" w14:textId="77777777">
            <w:pPr>
              <w:numPr>
                <w:ilvl w:val="0"/>
                <w:numId w:val="27"/>
              </w:numPr>
              <w:overflowPunct/>
              <w:autoSpaceDE/>
              <w:autoSpaceDN/>
              <w:adjustRightInd/>
              <w:ind w:left="567" w:hanging="567"/>
              <w:contextualSpacing/>
              <w:textAlignment w:val="auto"/>
            </w:pPr>
            <w:r>
              <w:t>stresses the need to ensure interoperability between the EU central interface, the Single Digital Gateway and relevant national, regional and local authorities;</w:t>
            </w:r>
          </w:p>
          <w:p w:rsidR="00A81B47" w:rsidP="00C1355C" w:rsidRDefault="005106FD" w14:paraId="4567A468" w14:textId="27E9900E">
            <w:pPr>
              <w:numPr>
                <w:ilvl w:val="0"/>
                <w:numId w:val="27"/>
              </w:numPr>
              <w:overflowPunct/>
              <w:autoSpaceDE/>
              <w:autoSpaceDN/>
              <w:adjustRightInd/>
              <w:ind w:left="567" w:hanging="567"/>
              <w:contextualSpacing/>
              <w:textAlignment w:val="auto"/>
            </w:pPr>
            <w:r>
              <w:t xml:space="preserve">welcomes the standardised EU employee stock option scheme, but stresses that it must not replace or diminish renumeration </w:t>
            </w:r>
            <w:r>
              <w:rPr>
                <w:iCs/>
              </w:rPr>
              <w:t>giving access to social, health and pensions rights.</w:t>
            </w:r>
          </w:p>
          <w:p w:rsidR="00A81B47" w:rsidP="00C1355C" w:rsidRDefault="00A81B47" w14:paraId="51FE1663" w14:textId="0B0989C3"/>
        </w:tc>
      </w:tr>
    </w:tbl>
    <w:p w:rsidR="00A81B47" w:rsidP="00C1355C" w:rsidRDefault="00A81B47" w14:paraId="23862D84" w14:textId="77777777">
      <w:pPr>
        <w:tabs>
          <w:tab w:val="left" w:pos="440"/>
        </w:tabs>
        <w:ind w:left="440" w:hanging="440"/>
        <w:sectPr w:rsidR="00A81B47" w:rsidSect="00C1355C">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A81B47" w14:paraId="39043FCF" w14:textId="77777777">
        <w:trPr>
          <w:trHeight w:val="12474"/>
        </w:trPr>
        <w:tc>
          <w:tcPr>
            <w:tcW w:w="9289" w:type="dxa"/>
            <w:vAlign w:val="bottom"/>
          </w:tcPr>
          <w:p w:rsidR="00A81B47" w:rsidP="00C1355C" w:rsidRDefault="005106FD" w14:paraId="30072B07" w14:textId="68DC06E6">
            <w:pPr>
              <w:rPr>
                <w:b/>
                <w:bCs/>
              </w:rPr>
            </w:pPr>
            <w:r>
              <w:rPr>
                <w:b/>
                <w:bCs/>
              </w:rPr>
              <w:lastRenderedPageBreak/>
              <w:t>Rapporteur:</w:t>
            </w:r>
          </w:p>
          <w:p w:rsidR="00A81B47" w:rsidP="00C1355C" w:rsidRDefault="00A81B47" w14:paraId="3C38FE7B" w14:textId="77777777"/>
          <w:p w:rsidR="00A81B47" w:rsidP="00C1355C" w:rsidRDefault="005106FD" w14:paraId="39ED16F1" w14:textId="62CFED40">
            <w:r>
              <w:t>Roberta ANGELILLI (IT/ECR), Vice-President of the Lazio Region</w:t>
            </w:r>
          </w:p>
          <w:p w:rsidR="00A81B47" w:rsidP="00C1355C" w:rsidRDefault="00A81B47" w14:paraId="0935A489" w14:textId="77777777">
            <w:pPr>
              <w:rPr>
                <w:b/>
                <w:bCs/>
              </w:rPr>
            </w:pPr>
          </w:p>
          <w:p w:rsidR="00A81B47" w:rsidP="00C1355C" w:rsidRDefault="005106FD" w14:paraId="6D8CD9F9" w14:textId="31BE7FF3">
            <w:pPr>
              <w:rPr>
                <w:b/>
                <w:bCs/>
              </w:rPr>
            </w:pPr>
            <w:r>
              <w:rPr>
                <w:b/>
                <w:bCs/>
              </w:rPr>
              <w:t>Reference documents:</w:t>
            </w:r>
          </w:p>
          <w:p w:rsidR="00A81B47" w:rsidP="00C1355C" w:rsidRDefault="00A81B47" w14:paraId="44443C8C" w14:textId="77777777"/>
          <w:p w:rsidR="00A81B47" w:rsidP="00C1355C" w:rsidRDefault="005106FD" w14:paraId="4C7EAB96" w14:textId="5BCACA88">
            <w:r>
              <w:t>Proposal for a  Regulation on the 28th regime corporate legal framework - 'EU INC' (COM(2026) 321)</w:t>
            </w:r>
          </w:p>
          <w:p w:rsidR="00A81B47" w:rsidP="00C1355C" w:rsidRDefault="005106FD" w14:paraId="3289882A" w14:textId="77777777">
            <w:r>
              <w:t>Commission Recommendation on the definition of innovative enterprises, innovative startups and innovative scaleups (C(2026) 1800)</w:t>
            </w:r>
          </w:p>
          <w:p w:rsidR="00A81B47" w:rsidP="00C1355C" w:rsidRDefault="005106FD" w14:paraId="329C80C1" w14:textId="084B127A">
            <w:r>
              <w:t>Communication: Towards a 28th regime for EU companies (COM(2026) 320)</w:t>
            </w:r>
          </w:p>
        </w:tc>
      </w:tr>
    </w:tbl>
    <w:p w:rsidR="00A81B47" w:rsidP="00C1355C" w:rsidRDefault="00A81B47" w14:paraId="7310BDEA" w14:textId="77777777">
      <w:pPr>
        <w:rPr>
          <w:szCs w:val="22"/>
        </w:rPr>
      </w:pPr>
    </w:p>
    <w:p w:rsidR="00A81B47" w:rsidP="00C1355C" w:rsidRDefault="005106FD" w14:paraId="6452B26A" w14:textId="1598D6E5">
      <w:pPr>
        <w:jc w:val="center"/>
      </w:pPr>
      <w:r>
        <w:rPr>
          <w:rFonts w:ascii="Times New Roman Bold" w:hAnsi="Times New Roman Bold"/>
          <w:b/>
        </w:rPr>
        <w:br w:type="page"/>
      </w:r>
      <w:r>
        <w:rPr>
          <w:b/>
        </w:rPr>
        <w:t xml:space="preserve">Opinion of the European Committee of the Regions – </w:t>
      </w:r>
      <w:r>
        <w:rPr>
          <w:b/>
        </w:rPr>
        <w:br/>
        <w:t xml:space="preserve"> The </w:t>
      </w:r>
      <w:r>
        <w:rPr>
          <w:b/>
          <w:bCs/>
        </w:rPr>
        <w:t>‘EU INC’ Corporate Legal Framework</w:t>
      </w:r>
    </w:p>
    <w:p w:rsidR="00A81B47" w:rsidP="00C1355C" w:rsidRDefault="00A81B47" w14:paraId="539388D0" w14:textId="77777777"/>
    <w:p w:rsidR="00A81B47" w:rsidP="00C1355C" w:rsidRDefault="005106FD" w14:paraId="20FF6C33" w14:textId="792080E4">
      <w:pPr>
        <w:numPr>
          <w:ilvl w:val="0"/>
          <w:numId w:val="21"/>
        </w:numPr>
        <w:ind w:left="567" w:hanging="567"/>
        <w:rPr>
          <w:b/>
        </w:rPr>
      </w:pPr>
      <w:r>
        <w:rPr>
          <w:b/>
        </w:rPr>
        <w:t>RECOMMANDATIONS FOR AMENDEMENTS</w:t>
      </w:r>
    </w:p>
    <w:p w:rsidR="00A81B47" w:rsidP="00C1355C" w:rsidRDefault="00A81B47" w14:paraId="08A4A807" w14:textId="3F998F8F">
      <w:pPr>
        <w:rPr>
          <w:b/>
        </w:rPr>
      </w:pPr>
    </w:p>
    <w:p w:rsidR="00A81B47" w:rsidP="00C1355C" w:rsidRDefault="005106FD" w14:paraId="29E10A35" w14:textId="77777777">
      <w:pPr>
        <w:jc w:val="center"/>
        <w:rPr>
          <w:b/>
          <w:bCs/>
        </w:rPr>
      </w:pPr>
      <w:r>
        <w:rPr>
          <w:b/>
        </w:rPr>
        <w:t xml:space="preserve">Amendment </w:t>
      </w:r>
      <w:r>
        <w:rPr>
          <w:b/>
          <w:bCs/>
        </w:rPr>
        <w:t>1</w:t>
      </w:r>
    </w:p>
    <w:p w:rsidR="00A81B47" w:rsidP="00C1355C" w:rsidRDefault="005106FD" w14:paraId="39515F9B" w14:textId="77777777">
      <w:pPr>
        <w:jc w:val="center"/>
        <w:rPr>
          <w:b/>
        </w:rPr>
      </w:pPr>
      <w:r>
        <w:rPr>
          <w:b/>
        </w:rPr>
        <w:t>COM(2026) 321</w:t>
      </w:r>
    </w:p>
    <w:p w:rsidR="00A81B47" w:rsidP="00C1355C" w:rsidRDefault="005106FD" w14:paraId="01CD9AAC" w14:textId="1941BE4B">
      <w:pPr>
        <w:jc w:val="center"/>
        <w:rPr>
          <w:b/>
        </w:rPr>
      </w:pPr>
      <w:r>
        <w:rPr>
          <w:b/>
        </w:rPr>
        <w:t>Recital 20</w:t>
      </w:r>
    </w:p>
    <w:p w:rsidR="00A81B47" w:rsidP="00C1355C" w:rsidRDefault="005106FD" w14:paraId="47B37866" w14:textId="77777777">
      <w:pPr>
        <w:jc w:val="center"/>
        <w:rPr>
          <w:b/>
        </w:rPr>
      </w:pPr>
      <w:r>
        <w:rPr>
          <w:b/>
        </w:rPr>
        <w:t>Amend</w:t>
      </w:r>
    </w:p>
    <w:p w:rsidR="00A81B47" w:rsidP="00C1355C" w:rsidRDefault="00A81B47" w14:paraId="4B1EB893" w14:textId="77777777">
      <w:pPr>
        <w:rPr>
          <w: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642"/>
        <w:gridCol w:w="4645"/>
      </w:tblGrid>
      <w:tr w:rsidR="00A81B47" w14:paraId="6EBC104B" w14:textId="77777777">
        <w:trPr>
          <w:trHeight w:val="300"/>
        </w:trPr>
        <w:tc>
          <w:tcPr>
            <w:tcW w:w="4642" w:type="dxa"/>
          </w:tcPr>
          <w:p w:rsidR="00A81B47" w:rsidP="00C1355C" w:rsidRDefault="005106FD" w14:paraId="749BAFDF" w14:textId="77777777">
            <w:pPr>
              <w:jc w:val="center"/>
              <w:rPr>
                <w:b/>
                <w:bCs/>
                <w:i/>
                <w:iCs/>
              </w:rPr>
            </w:pPr>
            <w:r>
              <w:rPr>
                <w:b/>
                <w:bCs/>
                <w:i/>
                <w:iCs/>
              </w:rPr>
              <w:t>Text proposed by the European Commission</w:t>
            </w:r>
          </w:p>
        </w:tc>
        <w:tc>
          <w:tcPr>
            <w:tcW w:w="4645" w:type="dxa"/>
          </w:tcPr>
          <w:p w:rsidR="00A81B47" w:rsidP="00C1355C" w:rsidRDefault="005106FD" w14:paraId="13B7015D" w14:textId="77777777">
            <w:pPr>
              <w:jc w:val="center"/>
              <w:rPr>
                <w:b/>
                <w:bCs/>
                <w:i/>
                <w:iCs/>
              </w:rPr>
            </w:pPr>
            <w:r>
              <w:rPr>
                <w:b/>
                <w:bCs/>
                <w:i/>
                <w:iCs/>
              </w:rPr>
              <w:t>CoR amendment</w:t>
            </w:r>
          </w:p>
        </w:tc>
      </w:tr>
      <w:tr w:rsidR="00A81B47" w14:paraId="7D11A04C" w14:textId="77777777">
        <w:trPr>
          <w:trHeight w:val="300"/>
        </w:trPr>
        <w:tc>
          <w:tcPr>
            <w:tcW w:w="4642" w:type="dxa"/>
          </w:tcPr>
          <w:p w:rsidR="00A81B47" w:rsidP="00C1355C" w:rsidRDefault="005106FD" w14:paraId="3FCA0056" w14:textId="6E20E5A4">
            <w:pPr>
              <w:rPr>
                <w:b/>
              </w:rPr>
            </w:pPr>
            <w:r>
              <w:rPr>
                <w:bCs/>
              </w:rPr>
              <w:t>The formation of an EU Inc. and in particular the articles of association, and any amendments thereof, should be subject to preventive administrative judicial or notarial control and a legality check, as set out in this Regulation, to ensure their reliability and facilitate their use especially in cross-border situations. As with any other company form,</w:t>
            </w:r>
            <w:r>
              <w:rPr>
                <w:bCs/>
                <w:i/>
              </w:rPr>
              <w:t xml:space="preserve"> </w:t>
            </w:r>
            <w:r>
              <w:rPr>
                <w:b/>
                <w:i/>
              </w:rPr>
              <w:t>the</w:t>
            </w:r>
            <w:r>
              <w:rPr>
                <w:bCs/>
              </w:rPr>
              <w:t xml:space="preserve"> preventive control is essential for prevention of abusive or fraudulent letter-box companies linked to tax evasion or money laundering. At the same time, a harmonised and efficient preventive control is also key to reducing administrative formalities in the use of company information by companies, as e.g. business partners, creditors and public authorities, and to ensuring mutual recognition, and therefore, the efficient application of the ՙonce-only՚ principle.</w:t>
            </w:r>
          </w:p>
        </w:tc>
        <w:tc>
          <w:tcPr>
            <w:tcW w:w="4645" w:type="dxa"/>
          </w:tcPr>
          <w:p w:rsidR="00A81B47" w:rsidP="00C1355C" w:rsidRDefault="005106FD" w14:paraId="437BBD15" w14:textId="7185FBD6">
            <w:pPr>
              <w:rPr>
                <w:iCs/>
              </w:rPr>
            </w:pPr>
            <w:r>
              <w:rPr>
                <w:iCs/>
              </w:rPr>
              <w:t xml:space="preserve">The formation of an EU Inc. </w:t>
            </w:r>
            <w:r>
              <w:rPr>
                <w:b/>
                <w:bCs/>
                <w:i/>
              </w:rPr>
              <w:t>company</w:t>
            </w:r>
            <w:r>
              <w:rPr>
                <w:bCs/>
              </w:rPr>
              <w:t xml:space="preserve"> </w:t>
            </w:r>
            <w:r>
              <w:rPr>
                <w:iCs/>
              </w:rPr>
              <w:t xml:space="preserve">and in particular the articles of association, and any amendments thereof, should be subject to preventive administrative judicial or notarial control and a legality check, as set out in this Regulation, to ensure their reliability and facilitate their use especially in cross-border situations. </w:t>
            </w:r>
            <w:r>
              <w:rPr>
                <w:b/>
                <w:bCs/>
                <w:i/>
                <w:iCs/>
              </w:rPr>
              <w:t>Effective preventive control is essential to ensure trust in digital company formation procedures and the integrity of company registers across the Union</w:t>
            </w:r>
            <w:r>
              <w:rPr>
                <w:iCs/>
              </w:rPr>
              <w:t>.</w:t>
            </w:r>
            <w:r>
              <w:rPr>
                <w:bCs/>
              </w:rPr>
              <w:t xml:space="preserve"> </w:t>
            </w:r>
            <w:r>
              <w:rPr>
                <w:bCs/>
                <w:iCs/>
              </w:rPr>
              <w:t>As with any other company form,</w:t>
            </w:r>
            <w:r>
              <w:rPr>
                <w:bCs/>
                <w:i/>
                <w:iCs/>
              </w:rPr>
              <w:t xml:space="preserve"> </w:t>
            </w:r>
            <w:r>
              <w:rPr>
                <w:b/>
                <w:i/>
                <w:iCs/>
              </w:rPr>
              <w:t>the</w:t>
            </w:r>
            <w:r>
              <w:rPr>
                <w:bCs/>
                <w:iCs/>
              </w:rPr>
              <w:t xml:space="preserve"> preventive control is essential for prevention of abusive or fraudulent letter-box companies linked to tax evasion or money laundering </w:t>
            </w:r>
            <w:r>
              <w:rPr>
                <w:b/>
                <w:bCs/>
                <w:i/>
                <w:iCs/>
              </w:rPr>
              <w:t>that are aimed at the evasion or circumvention of Union or national law, or intended for criminal purposes. It also contributes to preventing the misuse of legal entities for circumvention of sanctions, concealment of beneficial ownership, identity fraud or other forms of corporate abuse</w:t>
            </w:r>
            <w:r>
              <w:rPr>
                <w:bCs/>
                <w:iCs/>
              </w:rPr>
              <w:t>.</w:t>
            </w:r>
            <w:r>
              <w:rPr>
                <w:szCs w:val="22"/>
              </w:rPr>
              <w:t xml:space="preserve"> </w:t>
            </w:r>
            <w:r>
              <w:rPr>
                <w:bCs/>
                <w:iCs/>
              </w:rPr>
              <w:t>At the same time, a harmonised and efficient preventive control is also key to reducing administrative formalities in the use of company information by companies, as e.g. business partners, creditors and public authorities, and to ensuring mutual recognition, and therefore the efficient application of the 'once-only principle.</w:t>
            </w:r>
          </w:p>
        </w:tc>
      </w:tr>
    </w:tbl>
    <w:p w:rsidR="00A81B47" w:rsidP="00C1355C" w:rsidRDefault="00A81B47" w14:paraId="283F835D" w14:textId="77777777">
      <w:pPr>
        <w:rPr>
          <w:b/>
        </w:rPr>
      </w:pPr>
    </w:p>
    <w:p w:rsidR="00A81B47" w:rsidP="00C1355C" w:rsidRDefault="005106FD" w14:paraId="458B7A82" w14:textId="7F16A9E1">
      <w:pPr>
        <w:keepNext/>
        <w:jc w:val="center"/>
        <w:rPr>
          <w:b/>
          <w:bCs/>
        </w:rPr>
      </w:pPr>
      <w:r>
        <w:rPr>
          <w:b/>
        </w:rPr>
        <w:t>Amendment 2</w:t>
      </w:r>
    </w:p>
    <w:p w:rsidR="00A81B47" w:rsidP="00C1355C" w:rsidRDefault="005106FD" w14:paraId="7A5B402F" w14:textId="6AC1FD14">
      <w:pPr>
        <w:keepNext/>
        <w:jc w:val="center"/>
      </w:pPr>
      <w:r>
        <w:t>COM(2026) 321</w:t>
      </w:r>
    </w:p>
    <w:p w:rsidR="00A81B47" w:rsidP="00C1355C" w:rsidRDefault="005106FD" w14:paraId="042402D9" w14:textId="6C792091">
      <w:pPr>
        <w:keepNext/>
        <w:jc w:val="center"/>
        <w:rPr>
          <w:szCs w:val="22"/>
        </w:rPr>
      </w:pPr>
      <w:r>
        <w:rPr>
          <w:szCs w:val="22"/>
        </w:rPr>
        <w:t>Recital 22</w:t>
      </w:r>
    </w:p>
    <w:p w:rsidR="00A81B47" w:rsidP="00C1355C" w:rsidRDefault="005106FD" w14:paraId="652A048D" w14:textId="06519348">
      <w:pPr>
        <w:keepNext/>
        <w:jc w:val="center"/>
        <w:rPr>
          <w:szCs w:val="22"/>
        </w:rPr>
      </w:pPr>
      <w:r>
        <w:rPr>
          <w:szCs w:val="22"/>
        </w:rPr>
        <w:t>Amend</w:t>
      </w:r>
    </w:p>
    <w:p w:rsidR="00A81B47" w:rsidP="00C1355C" w:rsidRDefault="00A81B47" w14:paraId="765D6A03" w14:textId="64CC0011">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642"/>
        <w:gridCol w:w="4645"/>
      </w:tblGrid>
      <w:tr w:rsidR="00A81B47" w14:paraId="312D2010" w14:textId="77777777">
        <w:trPr>
          <w:trHeight w:val="300"/>
        </w:trPr>
        <w:tc>
          <w:tcPr>
            <w:tcW w:w="4642" w:type="dxa"/>
          </w:tcPr>
          <w:p w:rsidR="00A81B47" w:rsidP="00C1355C" w:rsidRDefault="005106FD" w14:paraId="6E1F59B2" w14:textId="77777777">
            <w:pPr>
              <w:jc w:val="center"/>
              <w:rPr>
                <w:b/>
                <w:bCs/>
                <w:i/>
                <w:iCs/>
              </w:rPr>
            </w:pPr>
            <w:r>
              <w:rPr>
                <w:b/>
                <w:bCs/>
                <w:i/>
                <w:iCs/>
              </w:rPr>
              <w:t>Text proposed by the European Commission</w:t>
            </w:r>
          </w:p>
        </w:tc>
        <w:tc>
          <w:tcPr>
            <w:tcW w:w="4645" w:type="dxa"/>
          </w:tcPr>
          <w:p w:rsidR="00A81B47" w:rsidP="00C1355C" w:rsidRDefault="005106FD" w14:paraId="7AF9F185" w14:textId="77777777">
            <w:pPr>
              <w:jc w:val="center"/>
              <w:rPr>
                <w:b/>
                <w:bCs/>
                <w:i/>
                <w:iCs/>
              </w:rPr>
            </w:pPr>
            <w:r>
              <w:rPr>
                <w:b/>
                <w:bCs/>
                <w:i/>
                <w:iCs/>
              </w:rPr>
              <w:t>CoR amendment</w:t>
            </w:r>
          </w:p>
        </w:tc>
      </w:tr>
      <w:tr w:rsidR="00A81B47" w14:paraId="4E2E5BC2" w14:textId="77777777">
        <w:trPr>
          <w:trHeight w:val="300"/>
        </w:trPr>
        <w:tc>
          <w:tcPr>
            <w:tcW w:w="4642" w:type="dxa"/>
          </w:tcPr>
          <w:p w:rsidR="00A81B47" w:rsidP="00C1355C" w:rsidRDefault="005106FD" w14:paraId="7D026CA8" w14:textId="6DB469F7">
            <w:pPr>
              <w:rPr>
                <w:szCs w:val="22"/>
              </w:rPr>
            </w:pPr>
            <w:r>
              <w:t xml:space="preserve">The EU central interface should provide for a “fast track” company formation procedure including preventive administrative, judicial or notarial control within </w:t>
            </w:r>
            <w:r>
              <w:rPr>
                <w:b/>
                <w:bCs/>
                <w:i/>
                <w:iCs/>
              </w:rPr>
              <w:t>48 hours</w:t>
            </w:r>
            <w:r>
              <w:t xml:space="preserve"> and at a maximum cost of EUR 100 where the EU Inc. is formed by using the harmonised application form and EU templates for articles of association. The application form and EU templates should be made available in a machine-readable and searchable format to foster cross-border interoperability and facilitate the automatic exchange of data between public authorities and should be available on the EU central interface. Similarly, existing companies, including EU Inc. companies, should be able to set up a subsidiary through the same procedure. In this context, the information about the company setting up the subsidiary should be automatically retrieved from BRIS by the business register in which the subsidiary is to be registered. In addition, founders and companies should also have the possibility to form a company with tailor-made articles of association or set up a company directly with national business registers.</w:t>
            </w:r>
          </w:p>
        </w:tc>
        <w:tc>
          <w:tcPr>
            <w:tcW w:w="4645" w:type="dxa"/>
          </w:tcPr>
          <w:p w:rsidR="00A81B47" w:rsidP="00C1355C" w:rsidRDefault="005106FD" w14:paraId="36DBE141" w14:textId="3D24101A">
            <w:pPr>
              <w:rPr>
                <w:b/>
                <w:i/>
              </w:rPr>
            </w:pPr>
            <w:r>
              <w:t xml:space="preserve">The EU central interface should provide for a “fast track” company formation procedure including preventive administrative, judicial or notarial control within </w:t>
            </w:r>
            <w:r>
              <w:rPr>
                <w:b/>
                <w:bCs/>
                <w:i/>
                <w:iCs/>
              </w:rPr>
              <w:t>2 working days</w:t>
            </w:r>
            <w:r>
              <w:t xml:space="preserve"> and at a maximum cost of EUR 100 where the EU Inc. is formed by using the harmonised application form and EU templates for articles of association. The application form and EU templates should be made available in a machine-readable and searchable format to foster cross-border interoperability and facilitate the automatic exchange of data between public authorities and should be available on the EU central interface. Similarly, existing companies, including EU Inc. companies, should be able to set up a subsidiary through the same procedure. In this context, the information about the company setting up the subsidiary should be automatically retrieved from BRIS by the business register in which the subsidiary is to be registered. In addition, founders and companies should also have the possibility to form a company with tailor-made articles of association or set up a company directly with national business registers.</w:t>
            </w:r>
          </w:p>
        </w:tc>
      </w:tr>
    </w:tbl>
    <w:p w:rsidR="00A81B47" w:rsidP="00C1355C" w:rsidRDefault="00A81B47" w14:paraId="3AD7A112" w14:textId="7D5066B7">
      <w:pPr>
        <w:rPr>
          <w:rFonts w:ascii="Aptos" w:hAnsi="Aptos" w:eastAsia="Aptos" w:cs="Aptos"/>
          <w:sz w:val="24"/>
          <w:szCs w:val="24"/>
          <w:highlight w:val="yellow"/>
        </w:rPr>
      </w:pPr>
    </w:p>
    <w:p w:rsidR="00A81B47" w:rsidP="00C1355C" w:rsidRDefault="005106FD" w14:paraId="531E1B2D" w14:textId="23800CC2">
      <w:pPr>
        <w:keepNext/>
        <w:jc w:val="center"/>
        <w:rPr>
          <w:b/>
          <w:bCs/>
        </w:rPr>
      </w:pPr>
      <w:r>
        <w:rPr>
          <w:b/>
        </w:rPr>
        <w:t>Amendment 3</w:t>
      </w:r>
    </w:p>
    <w:p w:rsidR="00A81B47" w:rsidP="00C1355C" w:rsidRDefault="005106FD" w14:paraId="1A883E19" w14:textId="77777777">
      <w:pPr>
        <w:keepNext/>
        <w:jc w:val="center"/>
      </w:pPr>
      <w:r>
        <w:t>COM(2026) 321</w:t>
      </w:r>
    </w:p>
    <w:p w:rsidR="00A81B47" w:rsidP="00C1355C" w:rsidRDefault="005106FD" w14:paraId="45056397" w14:textId="622E913F">
      <w:pPr>
        <w:keepNext/>
        <w:jc w:val="center"/>
        <w:rPr>
          <w:szCs w:val="22"/>
        </w:rPr>
      </w:pPr>
      <w:r>
        <w:rPr>
          <w:szCs w:val="22"/>
        </w:rPr>
        <w:t>Recital 25</w:t>
      </w:r>
    </w:p>
    <w:p w:rsidR="00A81B47" w:rsidP="00C1355C" w:rsidRDefault="005106FD" w14:paraId="01F41D01" w14:textId="7BCFA6B9">
      <w:pPr>
        <w:keepNext/>
        <w:jc w:val="center"/>
        <w:rPr>
          <w:szCs w:val="22"/>
        </w:rPr>
      </w:pPr>
      <w:r>
        <w:rPr>
          <w:szCs w:val="22"/>
        </w:rPr>
        <w:t>Amend</w:t>
      </w:r>
    </w:p>
    <w:p w:rsidR="00A81B47" w:rsidP="00C1355C" w:rsidRDefault="00A81B47" w14:paraId="7ACA7450"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642"/>
        <w:gridCol w:w="4645"/>
      </w:tblGrid>
      <w:tr w:rsidR="00A81B47" w14:paraId="661C5B0B" w14:textId="77777777">
        <w:trPr>
          <w:trHeight w:val="300"/>
        </w:trPr>
        <w:tc>
          <w:tcPr>
            <w:tcW w:w="4642" w:type="dxa"/>
          </w:tcPr>
          <w:p w:rsidR="00A81B47" w:rsidP="00C1355C" w:rsidRDefault="005106FD" w14:paraId="43DD26CF" w14:textId="77777777">
            <w:pPr>
              <w:keepNext/>
              <w:jc w:val="center"/>
              <w:rPr>
                <w:b/>
                <w:bCs/>
                <w:i/>
                <w:iCs/>
              </w:rPr>
            </w:pPr>
            <w:r>
              <w:rPr>
                <w:b/>
                <w:bCs/>
                <w:i/>
                <w:iCs/>
              </w:rPr>
              <w:t>Text proposed by the European Commission</w:t>
            </w:r>
          </w:p>
        </w:tc>
        <w:tc>
          <w:tcPr>
            <w:tcW w:w="4645" w:type="dxa"/>
          </w:tcPr>
          <w:p w:rsidR="00A81B47" w:rsidP="00C1355C" w:rsidRDefault="005106FD" w14:paraId="1626B5E2" w14:textId="77777777">
            <w:pPr>
              <w:keepNext/>
              <w:jc w:val="center"/>
              <w:rPr>
                <w:b/>
                <w:bCs/>
                <w:i/>
                <w:iCs/>
              </w:rPr>
            </w:pPr>
            <w:r>
              <w:rPr>
                <w:b/>
                <w:bCs/>
                <w:i/>
                <w:iCs/>
              </w:rPr>
              <w:t>CoR amendment</w:t>
            </w:r>
          </w:p>
        </w:tc>
      </w:tr>
      <w:tr w:rsidR="00A81B47" w14:paraId="69E9DF67" w14:textId="77777777">
        <w:trPr>
          <w:trHeight w:val="300"/>
        </w:trPr>
        <w:tc>
          <w:tcPr>
            <w:tcW w:w="4642" w:type="dxa"/>
          </w:tcPr>
          <w:p w:rsidR="00A81B47" w:rsidP="00C1355C" w:rsidRDefault="005106FD" w14:paraId="68DD9AD2" w14:textId="2F870A9C">
            <w:pPr>
              <w:rPr>
                <w:szCs w:val="22"/>
              </w:rPr>
            </w:pPr>
            <w:r>
              <w:t>In the context of setting up a company, national law often requires founders to separately submit information about the company to several public authorities for tax, social security or anti-money laundering purposes. This leads to delays and extra costs to start running the new business. Therefore, in order to reduce administrative burden and costs and ensure the quick completion of procedures, these rules and procedures should be harmonised by ensuring a “once-only” data exchange between the business register of registration of an EU Inc. and the relevant national authorities. The application of the once-only principle in relation to tax authorities, social security authorities and the beneficial ownership registers would also contribute to tackling possible abuses by ensuring that business registers share data with other authorities as well as the beneficial ownership register, and all use the same company information.</w:t>
            </w:r>
          </w:p>
        </w:tc>
        <w:tc>
          <w:tcPr>
            <w:tcW w:w="4645" w:type="dxa"/>
          </w:tcPr>
          <w:p w:rsidR="00A81B47" w:rsidP="00C1355C" w:rsidRDefault="005106FD" w14:paraId="32FA5E4C" w14:textId="77777777">
            <w:pPr>
              <w:rPr>
                <w:lang w:eastAsia="it-IT"/>
              </w:rPr>
            </w:pPr>
            <w:r>
              <w:t>In the context of setting up a company, national law often requires founders to separately submit information about the company to several public authorities for tax, social security or anti-money laundering purposes. This leads to delays and extra costs to start running the new business. Therefore, in order to reduce administrative burden and costs and ensure the quick completion of procedures, these rules and procedures should be harmonised by ensuring a “once-only” data exchange between the business register of registration of an EU Inc. and the relevant national authorities. The application of the once-only principle in relation to tax authorities, social security authorities and the beneficial ownership registers would also contribute to tackling possible abuses by ensuring that business registers share data with other authorities as well as the beneficial ownership register, and all use the same company information.</w:t>
            </w:r>
          </w:p>
          <w:p w:rsidR="00A81B47" w:rsidP="00C1355C" w:rsidRDefault="005106FD" w14:paraId="188964BA" w14:textId="13EB5E40">
            <w:pPr>
              <w:rPr>
                <w:b/>
                <w:i/>
                <w:iCs/>
              </w:rPr>
            </w:pPr>
            <w:r>
              <w:rPr>
                <w:rFonts w:eastAsia="Myriad Pro"/>
                <w:b/>
                <w:bCs/>
                <w:i/>
                <w:iCs/>
              </w:rPr>
              <w:t>Consistent with the once-only principle and with a view to ensuring procedural continuity between company formation and the effective commencement of business activities, the EU central interface should implement structured interoperability with the Single Digital Gateway (SDG), enabling the automatic referral, following registration, to the information on sector-specific authorisation, licensing and notification procedures administered by competent authorities and accessible through the SDG, without prejudice to the substantive requirements laid down by applicable national law.</w:t>
            </w:r>
          </w:p>
        </w:tc>
      </w:tr>
    </w:tbl>
    <w:p w:rsidR="00A81B47" w:rsidP="00C1355C" w:rsidRDefault="00A81B47" w14:paraId="4C2C5639" w14:textId="77777777">
      <w:pPr>
        <w:rPr>
          <w:rFonts w:ascii="Aptos" w:hAnsi="Aptos" w:eastAsia="Aptos" w:cs="Aptos"/>
          <w:sz w:val="24"/>
          <w:szCs w:val="24"/>
          <w:highlight w:val="yellow"/>
        </w:rPr>
      </w:pPr>
    </w:p>
    <w:p w:rsidR="00A81B47" w:rsidP="00C1355C" w:rsidRDefault="005106FD" w14:paraId="55E461F6" w14:textId="0276373C">
      <w:pPr>
        <w:keepNext/>
        <w:jc w:val="center"/>
        <w:rPr>
          <w:b/>
        </w:rPr>
      </w:pPr>
      <w:r>
        <w:rPr>
          <w:b/>
        </w:rPr>
        <w:t>Amendment 4</w:t>
      </w:r>
    </w:p>
    <w:p w:rsidR="00A81B47" w:rsidP="00C1355C" w:rsidRDefault="005106FD" w14:paraId="61A5B6D6" w14:textId="77777777">
      <w:pPr>
        <w:keepNext/>
        <w:jc w:val="center"/>
        <w:rPr>
          <w:szCs w:val="22"/>
        </w:rPr>
      </w:pPr>
      <w:r>
        <w:rPr>
          <w:szCs w:val="22"/>
        </w:rPr>
        <w:t>COM(2026) 321</w:t>
      </w:r>
    </w:p>
    <w:p w:rsidR="00A81B47" w:rsidP="00C1355C" w:rsidRDefault="005106FD" w14:paraId="358EEBE4" w14:textId="1DF16501">
      <w:pPr>
        <w:keepNext/>
        <w:jc w:val="center"/>
        <w:rPr>
          <w:szCs w:val="22"/>
        </w:rPr>
      </w:pPr>
      <w:r>
        <w:rPr>
          <w:szCs w:val="22"/>
        </w:rPr>
        <w:t>Recital 29</w:t>
      </w:r>
    </w:p>
    <w:p w:rsidR="00A81B47" w:rsidP="00C1355C" w:rsidRDefault="005106FD" w14:paraId="0D30B863" w14:textId="4DE98C95">
      <w:pPr>
        <w:keepNext/>
        <w:jc w:val="center"/>
        <w:rPr>
          <w:szCs w:val="22"/>
        </w:rPr>
      </w:pPr>
      <w:r>
        <w:rPr>
          <w:szCs w:val="22"/>
        </w:rPr>
        <w:t>Amend</w:t>
      </w:r>
    </w:p>
    <w:p w:rsidR="00A81B47" w:rsidP="00C1355C" w:rsidRDefault="00A81B47" w14:paraId="46FC5548"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642"/>
        <w:gridCol w:w="4645"/>
      </w:tblGrid>
      <w:tr w:rsidR="00A81B47" w14:paraId="17AD9F03" w14:textId="77777777">
        <w:trPr>
          <w:trHeight w:val="300"/>
        </w:trPr>
        <w:tc>
          <w:tcPr>
            <w:tcW w:w="4642" w:type="dxa"/>
          </w:tcPr>
          <w:p w:rsidR="00A81B47" w:rsidP="00C1355C" w:rsidRDefault="005106FD" w14:paraId="5960819F" w14:textId="77777777">
            <w:pPr>
              <w:keepNext/>
              <w:jc w:val="center"/>
              <w:rPr>
                <w:b/>
                <w:bCs/>
                <w:i/>
                <w:iCs/>
              </w:rPr>
            </w:pPr>
            <w:r>
              <w:rPr>
                <w:b/>
                <w:bCs/>
                <w:i/>
                <w:iCs/>
              </w:rPr>
              <w:t>Text proposed by the European Commission</w:t>
            </w:r>
          </w:p>
        </w:tc>
        <w:tc>
          <w:tcPr>
            <w:tcW w:w="4645" w:type="dxa"/>
          </w:tcPr>
          <w:p w:rsidR="00A81B47" w:rsidP="00C1355C" w:rsidRDefault="005106FD" w14:paraId="6659A220" w14:textId="77777777">
            <w:pPr>
              <w:keepNext/>
              <w:jc w:val="center"/>
              <w:rPr>
                <w:b/>
                <w:bCs/>
                <w:i/>
                <w:iCs/>
              </w:rPr>
            </w:pPr>
            <w:r>
              <w:rPr>
                <w:b/>
                <w:bCs/>
                <w:i/>
                <w:iCs/>
              </w:rPr>
              <w:t>CoR amendment</w:t>
            </w:r>
          </w:p>
        </w:tc>
      </w:tr>
      <w:tr w:rsidR="00A81B47" w14:paraId="67BA9670" w14:textId="77777777">
        <w:trPr>
          <w:trHeight w:val="300"/>
        </w:trPr>
        <w:tc>
          <w:tcPr>
            <w:tcW w:w="4642" w:type="dxa"/>
          </w:tcPr>
          <w:p w:rsidR="00A81B47" w:rsidP="00C1355C" w:rsidRDefault="005106FD" w14:paraId="7AB9F374" w14:textId="4336A43D">
            <w:pPr>
              <w:rPr>
                <w:szCs w:val="22"/>
              </w:rPr>
            </w:pPr>
            <w:r>
              <w:t>In order to facilitate its cross-border activities in the internal market, an EU Inc. company should be able to prove that it is legally incorporated in a Member State through simple and reliable means, which other Member States should be required to recognise. Therefore, EU Inc. companies, as other Union companies, should be able to use a harmonised EU Company Certificate, introduced by Directive (EU) 2025/25, for different purposes, including in administrative procedures before national authorities or Union institutions and bodies and in judicial proceedings in other Member States. The EU Company Certificate includes essential company information about EU Inc and is issued and certified by national business registers and available in all official languages of the Union. In addition, EU Inc. should be able to use, as other Union companies, the digital EU power of attorney, which was also introduced by Directive (EU) 2025/25, in order to authorise a person to represent the company in specific procedures with a cross-border dimension. The digital EU power of attorney should be accepted as evidence of the authorised person’s entitlement to represent the EU Inc.</w:t>
            </w:r>
          </w:p>
        </w:tc>
        <w:tc>
          <w:tcPr>
            <w:tcW w:w="4645" w:type="dxa"/>
          </w:tcPr>
          <w:p w:rsidR="00A81B47" w:rsidP="00C1355C" w:rsidRDefault="005106FD" w14:paraId="4ABDA047" w14:textId="0F3FB598">
            <w:pPr>
              <w:rPr>
                <w:b/>
                <w:i/>
              </w:rPr>
            </w:pPr>
            <w:r>
              <w:rPr>
                <w:b/>
                <w:bCs/>
                <w:i/>
                <w:iCs/>
              </w:rPr>
              <w:t>While an EU Inc. company may conduct activities across several Member States, it is important to ensure clear channels of accountability and communication with the public authorities of the territories in which such activities are carried out.</w:t>
            </w:r>
            <w:r>
              <w:t xml:space="preserve"> In order to facilitate its cross-border activities in the internal market, an EU Inc. company should be able to prove that it is legally incorporated in a Member State through simple and reliable means, which other Member States should be required to recognise. Therefore, EU Inc. companies, as other Union companies, should be able to use a harmonised EU Company Certificate, introduced by Directive (EU) 2025/25, for different purposes, including in administrative procedures before national authorities or Union institutions and bodies and in judicial proceedings in other Member States. The EU Company Certificate includes essential company information about EU Inc and is issued and certified by national business registers and available in all official languages of the Union. In addition, EU Inc. should be able to use, as other Union companies, the digital EU power of attorney, which was also introduced by Directive (EU) 2025/25, in order to authorise a person to represent the company in specific procedures with a cross-border dimension. The digital EU power of attorney should be accepted as evidence of the authorised person’s entitlement to represent the EU Inc.</w:t>
            </w:r>
          </w:p>
        </w:tc>
      </w:tr>
    </w:tbl>
    <w:p w:rsidR="00A81B47" w:rsidP="00C1355C" w:rsidRDefault="00A81B47" w14:paraId="7C2A2DEF" w14:textId="77777777">
      <w:pPr>
        <w:rPr>
          <w:rFonts w:ascii="Aptos" w:hAnsi="Aptos" w:eastAsia="Aptos" w:cs="Aptos"/>
          <w:sz w:val="24"/>
          <w:szCs w:val="24"/>
          <w:highlight w:val="yellow"/>
        </w:rPr>
      </w:pPr>
    </w:p>
    <w:p w:rsidR="00A81B47" w:rsidP="00C1355C" w:rsidRDefault="005106FD" w14:paraId="0836D28B" w14:textId="0C31BA96">
      <w:pPr>
        <w:keepNext/>
        <w:jc w:val="center"/>
        <w:rPr>
          <w:b/>
          <w:bCs/>
        </w:rPr>
      </w:pPr>
      <w:r>
        <w:rPr>
          <w:b/>
        </w:rPr>
        <w:t>Amendment 5</w:t>
      </w:r>
    </w:p>
    <w:p w:rsidR="00A81B47" w:rsidP="00C1355C" w:rsidRDefault="005106FD" w14:paraId="7BC2F0DF" w14:textId="77777777">
      <w:pPr>
        <w:keepNext/>
        <w:jc w:val="center"/>
        <w:rPr>
          <w:bCs/>
        </w:rPr>
      </w:pPr>
      <w:r>
        <w:rPr>
          <w:bCs/>
        </w:rPr>
        <w:t>COM(2026) 321</w:t>
      </w:r>
    </w:p>
    <w:p w:rsidR="00A81B47" w:rsidP="00C1355C" w:rsidRDefault="005106FD" w14:paraId="3A37D532" w14:textId="6660AC6E">
      <w:pPr>
        <w:keepNext/>
        <w:jc w:val="center"/>
        <w:rPr>
          <w:szCs w:val="22"/>
        </w:rPr>
      </w:pPr>
      <w:r>
        <w:rPr>
          <w:szCs w:val="22"/>
        </w:rPr>
        <w:t>Recital 30</w:t>
      </w:r>
    </w:p>
    <w:p w:rsidR="00A81B47" w:rsidP="00C1355C" w:rsidRDefault="005106FD" w14:paraId="042442A7" w14:textId="45273476">
      <w:pPr>
        <w:keepNext/>
        <w:jc w:val="center"/>
        <w:rPr>
          <w:szCs w:val="22"/>
        </w:rPr>
      </w:pPr>
      <w:r>
        <w:rPr>
          <w:szCs w:val="22"/>
        </w:rPr>
        <w:t>Amend</w:t>
      </w:r>
    </w:p>
    <w:p w:rsidR="00A81B47" w:rsidP="00C1355C" w:rsidRDefault="00A81B47" w14:paraId="0AFAA992"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642"/>
        <w:gridCol w:w="4645"/>
      </w:tblGrid>
      <w:tr w:rsidR="00A81B47" w14:paraId="4E0616D9" w14:textId="77777777">
        <w:trPr>
          <w:trHeight w:val="300"/>
        </w:trPr>
        <w:tc>
          <w:tcPr>
            <w:tcW w:w="4642" w:type="dxa"/>
          </w:tcPr>
          <w:p w:rsidR="00A81B47" w:rsidP="00C1355C" w:rsidRDefault="005106FD" w14:paraId="4D4807AD" w14:textId="77777777">
            <w:pPr>
              <w:jc w:val="center"/>
              <w:rPr>
                <w:b/>
                <w:bCs/>
                <w:i/>
                <w:iCs/>
              </w:rPr>
            </w:pPr>
            <w:r>
              <w:rPr>
                <w:b/>
                <w:bCs/>
                <w:i/>
                <w:iCs/>
              </w:rPr>
              <w:t>Text proposed by the European Commission</w:t>
            </w:r>
          </w:p>
        </w:tc>
        <w:tc>
          <w:tcPr>
            <w:tcW w:w="4645" w:type="dxa"/>
          </w:tcPr>
          <w:p w:rsidR="00A81B47" w:rsidP="00C1355C" w:rsidRDefault="005106FD" w14:paraId="5F5B562E" w14:textId="77777777">
            <w:pPr>
              <w:jc w:val="center"/>
              <w:rPr>
                <w:b/>
                <w:bCs/>
                <w:i/>
                <w:iCs/>
              </w:rPr>
            </w:pPr>
            <w:r>
              <w:rPr>
                <w:b/>
                <w:bCs/>
                <w:i/>
                <w:iCs/>
              </w:rPr>
              <w:t>CoR amendment</w:t>
            </w:r>
          </w:p>
        </w:tc>
      </w:tr>
      <w:tr w:rsidR="00A81B47" w14:paraId="53724986" w14:textId="77777777">
        <w:trPr>
          <w:trHeight w:val="300"/>
        </w:trPr>
        <w:tc>
          <w:tcPr>
            <w:tcW w:w="4642" w:type="dxa"/>
          </w:tcPr>
          <w:p w:rsidR="00A81B47" w:rsidP="00C1355C" w:rsidRDefault="005106FD" w14:paraId="5AA77180" w14:textId="341219E6">
            <w:pPr>
              <w:rPr>
                <w:szCs w:val="22"/>
              </w:rPr>
            </w:pPr>
            <w:r>
              <w:t>In order to further facilitate cross-border procedures and reduce administrative burden, an EU Inc. should be able to use its company information in cross-border situations, including when dealing with competent authorities or in judicial proceedings in another Member State without burdensome formalities. Therefore, Member States should not be able to require legalisation or any similar formality, such as an apostille, in respect of certified copies of documents and information related to EU Inc. obtained from business registers. Similarly, no legalisation or similar formality should be required for notarial acts or administrative documents and for documents and information exchanged through BRIS, such as pre-operation certificates. At the same time, in order to prevent fraud or forgery, the existing safeguards set out in Directive (EU) 2025/25 should apply, whereby it should be possible for the authorities of the Member State in which the company document or information is presented, where they have a reasonable doubt as to its origin or authenticity, to verify the document or information via the issuing register or via the register in their own Member State.</w:t>
            </w:r>
          </w:p>
        </w:tc>
        <w:tc>
          <w:tcPr>
            <w:tcW w:w="4645" w:type="dxa"/>
          </w:tcPr>
          <w:p w:rsidR="00A81B47" w:rsidP="00C1355C" w:rsidRDefault="005106FD" w14:paraId="64BA2034" w14:textId="07D95592">
            <w:pPr>
              <w:rPr>
                <w:b/>
                <w:i/>
              </w:rPr>
            </w:pPr>
            <w:r>
              <w:t xml:space="preserve">In order to further facilitate cross-border procedures and reduce administrative burden, an EU Inc. should be able to use its company information in cross-border situations, including when dealing with competent authorities or in judicial proceedings in another Member State without burdensome formalities. Therefore, Member States, </w:t>
            </w:r>
            <w:r>
              <w:rPr>
                <w:b/>
                <w:bCs/>
                <w:i/>
                <w:iCs/>
              </w:rPr>
              <w:t>without prejudice to its competent authorities' right to request information necessary for the exercise of their legitimate supervisory and enforcement functions,</w:t>
            </w:r>
            <w:r>
              <w:t xml:space="preserve"> should not be able to require legalisation or any similar formality, such as an apostille, in respect of certified copies of documents and information related to EU Inc. obtained from business registers. Similarly, no legalisation or similar formality should be required for notarial acts or administrative documents and for documents and information exchanged through BRIS, such as pre-operation certificates. At the same time, in order to prevent fraud or forgery, the existing safeguards set out in Directive (EU) 2025/25 should apply, whereby it should be possible for the authorities of the Member State in which the company document or information is presented, where they have a reasonable doubt as to its origin or authenticity, to verify the document or information via the issuing register or via the register in their own Member State.</w:t>
            </w:r>
          </w:p>
        </w:tc>
      </w:tr>
    </w:tbl>
    <w:p w:rsidR="00A81B47" w:rsidP="00C1355C" w:rsidRDefault="00A81B47" w14:paraId="627B8354" w14:textId="77777777">
      <w:pPr>
        <w:rPr>
          <w:rFonts w:ascii="Aptos" w:hAnsi="Aptos" w:eastAsia="Aptos" w:cs="Aptos"/>
          <w:sz w:val="24"/>
          <w:szCs w:val="24"/>
          <w:highlight w:val="yellow"/>
        </w:rPr>
      </w:pPr>
    </w:p>
    <w:p w:rsidR="00A81B47" w:rsidP="00C1355C" w:rsidRDefault="005106FD" w14:paraId="71F4FBB6" w14:textId="6ACFD266">
      <w:pPr>
        <w:keepNext/>
        <w:jc w:val="center"/>
        <w:rPr>
          <w:b/>
        </w:rPr>
      </w:pPr>
      <w:r>
        <w:rPr>
          <w:b/>
        </w:rPr>
        <w:t>Amendment 6</w:t>
      </w:r>
    </w:p>
    <w:p w:rsidR="00A81B47" w:rsidP="00C1355C" w:rsidRDefault="005106FD" w14:paraId="1A23CF1E" w14:textId="77777777">
      <w:pPr>
        <w:keepNext/>
        <w:jc w:val="center"/>
        <w:rPr>
          <w:szCs w:val="22"/>
        </w:rPr>
      </w:pPr>
      <w:r>
        <w:rPr>
          <w:szCs w:val="22"/>
        </w:rPr>
        <w:t>COM(2026) 321</w:t>
      </w:r>
    </w:p>
    <w:p w:rsidR="00A81B47" w:rsidP="00C1355C" w:rsidRDefault="005106FD" w14:paraId="5E697039" w14:textId="156D38AC">
      <w:pPr>
        <w:keepNext/>
        <w:jc w:val="center"/>
        <w:rPr>
          <w:szCs w:val="22"/>
        </w:rPr>
      </w:pPr>
      <w:r>
        <w:rPr>
          <w:szCs w:val="22"/>
        </w:rPr>
        <w:t>Recital 57</w:t>
      </w:r>
    </w:p>
    <w:p w:rsidR="00A81B47" w:rsidP="00C1355C" w:rsidRDefault="005106FD" w14:paraId="0658E7EE" w14:textId="17C29340">
      <w:pPr>
        <w:keepNext/>
        <w:jc w:val="center"/>
        <w:rPr>
          <w:szCs w:val="22"/>
        </w:rPr>
      </w:pPr>
      <w:r>
        <w:rPr>
          <w:szCs w:val="22"/>
        </w:rPr>
        <w:t>Amend</w:t>
      </w:r>
    </w:p>
    <w:p w:rsidR="00A81B47" w:rsidP="00C1355C" w:rsidRDefault="00A81B47" w14:paraId="0E032555"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66742FC1" w14:textId="77777777">
        <w:trPr>
          <w:trHeight w:val="300"/>
        </w:trPr>
        <w:tc>
          <w:tcPr>
            <w:tcW w:w="4528" w:type="dxa"/>
          </w:tcPr>
          <w:p w:rsidR="00A81B47" w:rsidP="00C1355C" w:rsidRDefault="005106FD" w14:paraId="29BBF390" w14:textId="2F319C35">
            <w:pPr>
              <w:keepNext/>
              <w:jc w:val="center"/>
              <w:rPr>
                <w:b/>
                <w:bCs/>
                <w:i/>
                <w:iCs/>
              </w:rPr>
            </w:pPr>
            <w:r>
              <w:rPr>
                <w:b/>
                <w:bCs/>
                <w:i/>
                <w:iCs/>
              </w:rPr>
              <w:t>Text proposed by the European Commission</w:t>
            </w:r>
          </w:p>
        </w:tc>
        <w:tc>
          <w:tcPr>
            <w:tcW w:w="4529" w:type="dxa"/>
          </w:tcPr>
          <w:p w:rsidR="00A81B47" w:rsidP="00C1355C" w:rsidRDefault="005106FD" w14:paraId="2A7BB24E" w14:textId="248E1FC8">
            <w:pPr>
              <w:keepNext/>
              <w:jc w:val="center"/>
              <w:rPr>
                <w:b/>
                <w:bCs/>
                <w:i/>
                <w:iCs/>
              </w:rPr>
            </w:pPr>
            <w:r>
              <w:rPr>
                <w:b/>
                <w:bCs/>
                <w:i/>
                <w:iCs/>
              </w:rPr>
              <w:t>CoR amendment</w:t>
            </w:r>
          </w:p>
        </w:tc>
      </w:tr>
      <w:tr w:rsidR="00A81B47" w14:paraId="79B5EC83" w14:textId="77777777">
        <w:trPr>
          <w:trHeight w:val="300"/>
        </w:trPr>
        <w:tc>
          <w:tcPr>
            <w:tcW w:w="4528" w:type="dxa"/>
          </w:tcPr>
          <w:p w:rsidR="00A81B47" w:rsidP="00C1355C" w:rsidRDefault="005106FD" w14:paraId="1258DBA7" w14:textId="064CC7C3">
            <w:pPr>
              <w:rPr>
                <w:szCs w:val="22"/>
              </w:rPr>
            </w:pPr>
            <w:r>
              <w:t>Providing employees with equity and facilitating investment in their company is an important way to attract and retain talent, and a preferred means of providing them with a stake in the company's growth. Currently, divergent national requirements in this regard impede the scale-up of companies in the internal market. EU Inc. companies should therefore benefit from a harmonised simple employee stock option plan which they can establish for their staff throughout the internal market. Such plan, the EU-ESO, should enable an EU Inc. company to issue warrants to a broad group of eligible persons covering not only members of the board and employees of the EU Inc. but also of its subsidiaries. In line with the purposes of attracting and retaining talent and incentivising employees’ participation in the scaleup of the EU Inc., the warrants should be subject to a minimum vesting period and should not be issued to persons who already hold a significant stake in the EU Inc. Where an EU ESO is established, the board of directors should be authorised to issue warrants and satisfy the claims arising from the warrants either by issuing new shares or transferring own shares held in treasury, within the limits of the plan.</w:t>
            </w:r>
          </w:p>
        </w:tc>
        <w:tc>
          <w:tcPr>
            <w:tcW w:w="4529" w:type="dxa"/>
          </w:tcPr>
          <w:p w:rsidR="00A81B47" w:rsidP="00C1355C" w:rsidRDefault="005106FD" w14:paraId="75EF55A7" w14:textId="356177DB">
            <w:pPr>
              <w:rPr>
                <w:b/>
                <w:i/>
              </w:rPr>
            </w:pPr>
            <w:r>
              <w:t xml:space="preserve">Providing employees with equity and facilitating investment in their company is an important way to attract and retain talent, and a preferred means of providing them with a stake in the company's growth. Currently, divergent national requirements in this regard impede the scale-up of companies in the internal market. EU Inc. companies should therefore benefit from a harmonised simple employee stock option plan which they can establish for their staff throughout the internal market. </w:t>
            </w:r>
            <w:r>
              <w:rPr>
                <w:b/>
                <w:bCs/>
                <w:i/>
                <w:iCs/>
              </w:rPr>
              <w:t>The implementation of such a harmonised stock option plan would be monitored to determine its subsequent impact on labour mobility patterns across the European Union</w:t>
            </w:r>
            <w:r>
              <w:rPr>
                <w:i/>
                <w:iCs/>
              </w:rPr>
              <w:t xml:space="preserve">. </w:t>
            </w:r>
            <w:r>
              <w:t>Such plan, the EU-ESO, should enable an EU Inc. company to issue warrants to a broad group of eligible persons covering not only members of the board and employees of the EU Inc. but also of its subsidiaries. In line with the purposes of attracting and retaining talent and incentivising employees’ participation in the scaleup of the EU Inc., the warrants should be subject to a minimum vesting period and should not be issued to persons who already hold a significant stake in the EU Inc. Where an EU ESO is established, the board of directors should be authorised to issue warrants and satisfy the claims arising from the warrants either by issuing new shares or transferring own shares held in treasury, within the limits of the plan.</w:t>
            </w:r>
          </w:p>
        </w:tc>
      </w:tr>
    </w:tbl>
    <w:p w:rsidR="00A81B47" w:rsidP="00C1355C" w:rsidRDefault="00A81B47" w14:paraId="533F5FBD" w14:textId="77777777">
      <w:pPr>
        <w:rPr>
          <w:rFonts w:ascii="Aptos" w:hAnsi="Aptos" w:eastAsia="Aptos" w:cs="Aptos"/>
          <w:sz w:val="24"/>
          <w:szCs w:val="24"/>
          <w:highlight w:val="yellow"/>
        </w:rPr>
      </w:pPr>
    </w:p>
    <w:p w:rsidR="00A81B47" w:rsidP="00C1355C" w:rsidRDefault="005106FD" w14:paraId="236076A7" w14:textId="41C795F2">
      <w:pPr>
        <w:keepNext/>
        <w:jc w:val="center"/>
        <w:rPr>
          <w:b/>
          <w:bCs/>
        </w:rPr>
      </w:pPr>
      <w:r>
        <w:rPr>
          <w:b/>
        </w:rPr>
        <w:t>Amendment 7</w:t>
      </w:r>
    </w:p>
    <w:p w:rsidR="00A81B47" w:rsidP="00C1355C" w:rsidRDefault="005106FD" w14:paraId="39C62685" w14:textId="68CB4090">
      <w:pPr>
        <w:keepNext/>
        <w:jc w:val="center"/>
        <w:rPr>
          <w:bCs/>
        </w:rPr>
      </w:pPr>
      <w:r>
        <w:rPr>
          <w:bCs/>
        </w:rPr>
        <w:t>COM(2026) 321</w:t>
      </w:r>
    </w:p>
    <w:p w:rsidR="00A81B47" w:rsidP="00C1355C" w:rsidRDefault="005106FD" w14:paraId="13CCF87B" w14:textId="028BD25B">
      <w:pPr>
        <w:keepNext/>
        <w:jc w:val="center"/>
        <w:rPr>
          <w:szCs w:val="22"/>
        </w:rPr>
      </w:pPr>
      <w:r>
        <w:rPr>
          <w:szCs w:val="22"/>
        </w:rPr>
        <w:t xml:space="preserve">Article 4 </w:t>
      </w:r>
    </w:p>
    <w:p w:rsidR="00A81B47" w:rsidP="00C1355C" w:rsidRDefault="005106FD" w14:paraId="46B4A328" w14:textId="20D03C0F">
      <w:pPr>
        <w:keepNext/>
        <w:jc w:val="center"/>
      </w:pPr>
      <w:r>
        <w:rPr>
          <w:szCs w:val="22"/>
        </w:rPr>
        <w:t>Amend</w:t>
      </w:r>
    </w:p>
    <w:p w:rsidR="00A81B47" w:rsidP="00C1355C" w:rsidRDefault="00A81B47" w14:paraId="1AE4221B"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642"/>
        <w:gridCol w:w="4645"/>
      </w:tblGrid>
      <w:tr w:rsidR="00A81B47" w14:paraId="60771325" w14:textId="77777777">
        <w:trPr>
          <w:trHeight w:val="300"/>
        </w:trPr>
        <w:tc>
          <w:tcPr>
            <w:tcW w:w="4642" w:type="dxa"/>
          </w:tcPr>
          <w:p w:rsidR="00A81B47" w:rsidP="00C1355C" w:rsidRDefault="005106FD" w14:paraId="3CFD20DA" w14:textId="77777777">
            <w:pPr>
              <w:keepNext/>
              <w:jc w:val="center"/>
              <w:rPr>
                <w:b/>
                <w:bCs/>
                <w:i/>
                <w:iCs/>
              </w:rPr>
            </w:pPr>
            <w:r>
              <w:rPr>
                <w:b/>
                <w:bCs/>
                <w:i/>
                <w:iCs/>
              </w:rPr>
              <w:t>Text proposed by the European Commission</w:t>
            </w:r>
          </w:p>
        </w:tc>
        <w:tc>
          <w:tcPr>
            <w:tcW w:w="4645" w:type="dxa"/>
          </w:tcPr>
          <w:p w:rsidR="00A81B47" w:rsidP="00C1355C" w:rsidRDefault="005106FD" w14:paraId="55E22A21" w14:textId="77777777">
            <w:pPr>
              <w:keepNext/>
              <w:jc w:val="center"/>
              <w:rPr>
                <w:b/>
                <w:bCs/>
                <w:i/>
                <w:iCs/>
              </w:rPr>
            </w:pPr>
            <w:r>
              <w:rPr>
                <w:b/>
                <w:bCs/>
                <w:i/>
                <w:iCs/>
              </w:rPr>
              <w:t>CoR amendment</w:t>
            </w:r>
          </w:p>
        </w:tc>
      </w:tr>
      <w:tr w:rsidR="00A81B47" w14:paraId="7B345F22" w14:textId="77777777">
        <w:trPr>
          <w:trHeight w:val="300"/>
        </w:trPr>
        <w:tc>
          <w:tcPr>
            <w:tcW w:w="4642" w:type="dxa"/>
          </w:tcPr>
          <w:p w:rsidR="00A81B47" w:rsidP="00C1355C" w:rsidRDefault="005106FD" w14:paraId="79CCABA9" w14:textId="77777777">
            <w:r>
              <w:t>1. EU Inc. companies shall be governed by this Regulation and by their articles of association which shall comply with this Regulation.</w:t>
            </w:r>
          </w:p>
          <w:p w:rsidR="00A81B47" w:rsidP="00C1355C" w:rsidRDefault="005106FD" w14:paraId="3BE27C6A" w14:textId="55BE7FD0">
            <w:r>
              <w:t xml:space="preserve">2. </w:t>
            </w:r>
            <w:r>
              <w:rPr>
                <w:b/>
                <w:bCs/>
                <w:i/>
                <w:iCs/>
              </w:rPr>
              <w:t>Matters</w:t>
            </w:r>
            <w:r>
              <w:rPr>
                <w:i/>
                <w:iCs/>
              </w:rPr>
              <w:t xml:space="preserve"> </w:t>
            </w:r>
            <w:r>
              <w:t xml:space="preserve">that are not covered by this Regulation </w:t>
            </w:r>
            <w:r>
              <w:rPr>
                <w:b/>
                <w:bCs/>
              </w:rPr>
              <w:t>or by the articles of association</w:t>
            </w:r>
            <w:r>
              <w:t xml:space="preserve"> shall be governed by national law, including the provisions transposing Union law, which apply to relevant national legal forms in the Member State in which the EU Inc. has its registered office.</w:t>
            </w:r>
          </w:p>
          <w:p w:rsidR="00A81B47" w:rsidP="00C1355C" w:rsidRDefault="005106FD" w14:paraId="53266681" w14:textId="7ACBB875">
            <w:pPr>
              <w:rPr>
                <w:szCs w:val="22"/>
              </w:rPr>
            </w:pPr>
            <w:r>
              <w:t xml:space="preserve"> 3. Member States shall designate the relevant national legal form referred to under paragraph 2, the provisions of which apply to EU Inc. companies.</w:t>
            </w:r>
          </w:p>
        </w:tc>
        <w:tc>
          <w:tcPr>
            <w:tcW w:w="4645" w:type="dxa"/>
          </w:tcPr>
          <w:p w:rsidR="00A81B47" w:rsidP="00C1355C" w:rsidRDefault="005106FD" w14:paraId="3394EAF0" w14:textId="336EED00">
            <w:pPr>
              <w:tabs>
                <w:tab w:val="left" w:pos="201"/>
              </w:tabs>
            </w:pPr>
            <w:r>
              <w:t xml:space="preserve">1. EU Inc. companies shall, </w:t>
            </w:r>
            <w:r>
              <w:rPr>
                <w:b/>
                <w:bCs/>
                <w:i/>
                <w:iCs/>
              </w:rPr>
              <w:t>as regards their constitution, legal personality, internal organisation, governance, operation and dissolution</w:t>
            </w:r>
            <w:r>
              <w:rPr>
                <w:i/>
                <w:iCs/>
              </w:rPr>
              <w:t xml:space="preserve">, </w:t>
            </w:r>
            <w:r>
              <w:t>be governed by this Regulation and by their articles of association which shall comply with this Regulation.</w:t>
            </w:r>
          </w:p>
          <w:p w:rsidR="00A81B47" w:rsidP="00C1355C" w:rsidRDefault="005106FD" w14:paraId="7305D532" w14:textId="799CF624">
            <w:r>
              <w:t xml:space="preserve">2. </w:t>
            </w:r>
            <w:r>
              <w:rPr>
                <w:b/>
                <w:bCs/>
                <w:i/>
                <w:iCs/>
              </w:rPr>
              <w:t>All matters</w:t>
            </w:r>
            <w:r>
              <w:rPr>
                <w:b/>
                <w:bCs/>
              </w:rPr>
              <w:t xml:space="preserve"> </w:t>
            </w:r>
            <w:r>
              <w:t>that are not covered</w:t>
            </w:r>
            <w:r>
              <w:rPr>
                <w:b/>
                <w:bCs/>
              </w:rPr>
              <w:t xml:space="preserve"> </w:t>
            </w:r>
            <w:r>
              <w:t>by this Regulation shall be governed by national law, including the provisions transposing Union law, which apply to relevant national legal forms in the Member State in which the EU Inc. has its registered office.</w:t>
            </w:r>
          </w:p>
          <w:p w:rsidR="00A81B47" w:rsidP="00C1355C" w:rsidRDefault="005106FD" w14:paraId="03374A91" w14:textId="49A336ED">
            <w:pPr>
              <w:rPr>
                <w:b/>
                <w:i/>
              </w:rPr>
            </w:pPr>
            <w:r>
              <w:t>3. Member States shall designate the relevant national legal form referred to under paragraph 2, the provisions of which apply to EU Inc. companies.</w:t>
            </w:r>
          </w:p>
        </w:tc>
      </w:tr>
    </w:tbl>
    <w:p w:rsidR="00A81B47" w:rsidP="00C1355C" w:rsidRDefault="00A81B47" w14:paraId="23329FFB" w14:textId="77777777">
      <w:pPr>
        <w:rPr>
          <w:rFonts w:ascii="Aptos" w:hAnsi="Aptos" w:eastAsia="Aptos" w:cs="Aptos"/>
          <w:sz w:val="24"/>
          <w:szCs w:val="24"/>
          <w:highlight w:val="yellow"/>
        </w:rPr>
      </w:pPr>
    </w:p>
    <w:p w:rsidR="00A81B47" w:rsidP="00C1355C" w:rsidRDefault="005106FD" w14:paraId="41FC8F74" w14:textId="3C67FB21">
      <w:pPr>
        <w:keepNext/>
        <w:jc w:val="center"/>
        <w:rPr>
          <w:b/>
          <w:bCs/>
        </w:rPr>
      </w:pPr>
      <w:r>
        <w:rPr>
          <w:b/>
        </w:rPr>
        <w:t>Amendment 8</w:t>
      </w:r>
    </w:p>
    <w:p w:rsidR="00A81B47" w:rsidP="00C1355C" w:rsidRDefault="005106FD" w14:paraId="11181FFF" w14:textId="77777777">
      <w:pPr>
        <w:keepNext/>
        <w:jc w:val="center"/>
        <w:rPr>
          <w:bCs/>
        </w:rPr>
      </w:pPr>
      <w:r>
        <w:rPr>
          <w:bCs/>
        </w:rPr>
        <w:t>COM(2026) 321</w:t>
      </w:r>
    </w:p>
    <w:p w:rsidR="00A81B47" w:rsidP="00C1355C" w:rsidRDefault="005106FD" w14:paraId="51B5C4E3" w14:textId="77777777">
      <w:pPr>
        <w:keepNext/>
        <w:jc w:val="center"/>
        <w:rPr>
          <w:szCs w:val="22"/>
        </w:rPr>
      </w:pPr>
      <w:r>
        <w:rPr>
          <w:szCs w:val="22"/>
        </w:rPr>
        <w:t>Article 12</w:t>
      </w:r>
    </w:p>
    <w:p w:rsidR="00A81B47" w:rsidP="00C1355C" w:rsidRDefault="005106FD" w14:paraId="65903EB8" w14:textId="4D55B58E">
      <w:pPr>
        <w:keepNext/>
        <w:jc w:val="center"/>
        <w:rPr>
          <w:b/>
          <w:i/>
          <w:szCs w:val="22"/>
        </w:rPr>
      </w:pPr>
      <w:r>
        <w:rPr>
          <w:szCs w:val="22"/>
        </w:rPr>
        <w:t xml:space="preserve">Amend </w:t>
      </w:r>
    </w:p>
    <w:p w:rsidR="00A81B47" w:rsidP="00C1355C" w:rsidRDefault="00A81B47" w14:paraId="69C304D0" w14:textId="3462A159">
      <w:pPr>
        <w:keepNext/>
        <w:jc w:val="center"/>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0CF5822A" w14:textId="77777777">
        <w:trPr>
          <w:trHeight w:val="300"/>
        </w:trPr>
        <w:tc>
          <w:tcPr>
            <w:tcW w:w="4528" w:type="dxa"/>
          </w:tcPr>
          <w:p w:rsidR="00A81B47" w:rsidP="00C1355C" w:rsidRDefault="005106FD" w14:paraId="799C95F2" w14:textId="77777777">
            <w:pPr>
              <w:keepNext/>
              <w:jc w:val="center"/>
              <w:rPr>
                <w:b/>
                <w:bCs/>
                <w:i/>
                <w:iCs/>
              </w:rPr>
            </w:pPr>
            <w:r>
              <w:rPr>
                <w:b/>
                <w:bCs/>
                <w:i/>
                <w:iCs/>
              </w:rPr>
              <w:t>Text proposed by the European Commission</w:t>
            </w:r>
          </w:p>
        </w:tc>
        <w:tc>
          <w:tcPr>
            <w:tcW w:w="4529" w:type="dxa"/>
          </w:tcPr>
          <w:p w:rsidR="00A81B47" w:rsidP="00C1355C" w:rsidRDefault="005106FD" w14:paraId="073164D2" w14:textId="77777777">
            <w:pPr>
              <w:keepNext/>
              <w:jc w:val="center"/>
              <w:rPr>
                <w:b/>
                <w:bCs/>
                <w:i/>
                <w:iCs/>
              </w:rPr>
            </w:pPr>
            <w:r>
              <w:rPr>
                <w:b/>
                <w:bCs/>
                <w:i/>
                <w:iCs/>
              </w:rPr>
              <w:t>CoR amendment</w:t>
            </w:r>
          </w:p>
        </w:tc>
      </w:tr>
      <w:tr w:rsidR="00A81B47" w14:paraId="4ADFE0EB" w14:textId="77777777">
        <w:trPr>
          <w:trHeight w:val="300"/>
        </w:trPr>
        <w:tc>
          <w:tcPr>
            <w:tcW w:w="4528" w:type="dxa"/>
          </w:tcPr>
          <w:p w:rsidR="00A81B47" w:rsidP="00C1355C" w:rsidRDefault="005106FD" w14:paraId="616770E1" w14:textId="77777777">
            <w:pPr>
              <w:overflowPunct/>
              <w:autoSpaceDE/>
              <w:autoSpaceDN/>
              <w:adjustRightInd/>
              <w:ind w:left="40" w:right="40"/>
              <w:textAlignment w:val="auto"/>
              <w:rPr>
                <w:szCs w:val="22"/>
              </w:rPr>
            </w:pPr>
            <w:r>
              <w:rPr>
                <w:szCs w:val="22"/>
              </w:rPr>
              <w:t xml:space="preserve">1. An EU Inc. formed ex nihilo in accordance with Articles 16 to 19 or created through a domestic conversion, merger or division in accordance with Article 21 shall be subject to the employee participation rules applicable in the Member State </w:t>
            </w:r>
            <w:r>
              <w:rPr>
                <w:b/>
                <w:bCs/>
                <w:i/>
                <w:szCs w:val="22"/>
              </w:rPr>
              <w:t>in which it has its registered office</w:t>
            </w:r>
            <w:r>
              <w:rPr>
                <w:szCs w:val="22"/>
              </w:rPr>
              <w:t>.</w:t>
            </w:r>
          </w:p>
          <w:p w:rsidR="00A81B47" w:rsidP="00C1355C" w:rsidRDefault="005106FD" w14:paraId="418F4FBD" w14:textId="1C158D80">
            <w:r>
              <w:rPr>
                <w:szCs w:val="22"/>
              </w:rPr>
              <w:t>2. Where an EU Inc. is created through a cross-border conversion, merger or division in accordance with Chapters I, II and IV of Directive (EU) 2017/1132 or where an EU Inc. carries out such a cross-border conversion, division or merger in accordance with Directive (EU) 2017/1132, the rules on employee participation shall be determined in accordance with Articles 86l, 133 and 160l of that Directive</w:t>
            </w:r>
          </w:p>
        </w:tc>
        <w:tc>
          <w:tcPr>
            <w:tcW w:w="4529" w:type="dxa"/>
          </w:tcPr>
          <w:p w:rsidR="00A81B47" w:rsidP="00C1355C" w:rsidRDefault="005106FD" w14:paraId="32C1CF6D" w14:textId="77777777">
            <w:pPr>
              <w:overflowPunct/>
              <w:autoSpaceDE/>
              <w:autoSpaceDN/>
              <w:adjustRightInd/>
              <w:ind w:left="40" w:right="40"/>
              <w:textAlignment w:val="auto"/>
              <w:rPr>
                <w:szCs w:val="22"/>
              </w:rPr>
            </w:pPr>
            <w:r>
              <w:rPr>
                <w:szCs w:val="22"/>
              </w:rPr>
              <w:t>1. An EU Inc. formed ex nihilo in accordance with Articles 16 to 19 or created through a domestic conversion, merger or division in accordance with Article 21 shall be subject to the employee participation rules</w:t>
            </w:r>
            <w:r>
              <w:rPr>
                <w:b/>
                <w:bCs/>
                <w:i/>
                <w:szCs w:val="22"/>
              </w:rPr>
              <w:t>, if any,</w:t>
            </w:r>
            <w:r>
              <w:rPr>
                <w:szCs w:val="22"/>
              </w:rPr>
              <w:t xml:space="preserve"> applicable in the Member State </w:t>
            </w:r>
            <w:r>
              <w:rPr>
                <w:b/>
                <w:bCs/>
                <w:i/>
                <w:szCs w:val="22"/>
              </w:rPr>
              <w:t>of employment</w:t>
            </w:r>
            <w:r>
              <w:rPr>
                <w:szCs w:val="22"/>
              </w:rPr>
              <w:t>.</w:t>
            </w:r>
          </w:p>
          <w:p w:rsidR="00A81B47" w:rsidP="00C1355C" w:rsidRDefault="005106FD" w14:paraId="31F2CE44" w14:textId="503F6595">
            <w:pPr>
              <w:pStyle w:val="Default"/>
              <w:spacing w:line="288" w:lineRule="auto"/>
              <w:jc w:val="both"/>
              <w:rPr>
                <w:szCs w:val="22"/>
                <w:lang w:val="en-GB"/>
              </w:rPr>
            </w:pPr>
            <w:r>
              <w:rPr>
                <w:color w:val="auto"/>
                <w:sz w:val="22"/>
                <w:szCs w:val="22"/>
                <w:lang w:val="en-GB" w:eastAsia="en-US"/>
              </w:rPr>
              <w:t>2. Where an EU Inc. is created through a cross-border conversion, merger or division in accordance with Chapters I, II and IV of Directive (EU) 2017/1132 or where an EU Inc. carries out such a cross-border conversion, division or merger in accordance with Directive (EU) 2017/1132, the rules on employee participation shall be determined in accordance with Articles 86l, 133 and 160l of that Directive</w:t>
            </w:r>
            <w:r>
              <w:rPr>
                <w:b/>
                <w:bCs/>
                <w:i/>
                <w:color w:val="auto"/>
                <w:sz w:val="22"/>
                <w:szCs w:val="22"/>
                <w:lang w:val="en-GB" w:eastAsia="en-US"/>
              </w:rPr>
              <w:t>.</w:t>
            </w:r>
          </w:p>
        </w:tc>
      </w:tr>
    </w:tbl>
    <w:p w:rsidR="00A81B47" w:rsidP="00C1355C" w:rsidRDefault="00A81B47" w14:paraId="0F0AC899" w14:textId="77777777"/>
    <w:p w:rsidR="00A81B47" w:rsidP="00C1355C" w:rsidRDefault="005106FD" w14:paraId="76C16B1D" w14:textId="01E22279">
      <w:pPr>
        <w:keepNext/>
        <w:jc w:val="center"/>
        <w:rPr>
          <w:b/>
          <w:bCs/>
        </w:rPr>
      </w:pPr>
      <w:r>
        <w:rPr>
          <w:b/>
        </w:rPr>
        <w:t>Amendment 9</w:t>
      </w:r>
    </w:p>
    <w:p w:rsidR="00A81B47" w:rsidP="00C1355C" w:rsidRDefault="005106FD" w14:paraId="6F2466C8" w14:textId="71CB3095">
      <w:pPr>
        <w:keepNext/>
        <w:jc w:val="center"/>
        <w:rPr>
          <w:bCs/>
        </w:rPr>
      </w:pPr>
      <w:r>
        <w:rPr>
          <w:bCs/>
        </w:rPr>
        <w:t>COM(2026) 321</w:t>
      </w:r>
    </w:p>
    <w:p w:rsidR="00A81B47" w:rsidP="00C1355C" w:rsidRDefault="005106FD" w14:paraId="753732CA" w14:textId="49118C14">
      <w:pPr>
        <w:keepNext/>
        <w:jc w:val="center"/>
        <w:rPr>
          <w:szCs w:val="22"/>
        </w:rPr>
      </w:pPr>
      <w:r>
        <w:rPr>
          <w:szCs w:val="22"/>
        </w:rPr>
        <w:t>Article 15</w:t>
      </w:r>
    </w:p>
    <w:p w:rsidR="00A81B47" w:rsidP="00C1355C" w:rsidRDefault="005106FD" w14:paraId="104274F4" w14:textId="00F4217B">
      <w:pPr>
        <w:keepNext/>
        <w:jc w:val="center"/>
        <w:rPr>
          <w:szCs w:val="22"/>
        </w:rPr>
      </w:pPr>
      <w:r>
        <w:rPr>
          <w:szCs w:val="22"/>
        </w:rPr>
        <w:t>Amend</w:t>
      </w:r>
    </w:p>
    <w:p w:rsidR="00A81B47" w:rsidP="00C1355C" w:rsidRDefault="00A81B47" w14:paraId="61A467F1"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642"/>
        <w:gridCol w:w="4645"/>
      </w:tblGrid>
      <w:tr w:rsidR="00A81B47" w14:paraId="54110EBD" w14:textId="77777777">
        <w:trPr>
          <w:trHeight w:val="300"/>
        </w:trPr>
        <w:tc>
          <w:tcPr>
            <w:tcW w:w="4642" w:type="dxa"/>
          </w:tcPr>
          <w:p w:rsidR="00A81B47" w:rsidP="00C1355C" w:rsidRDefault="005106FD" w14:paraId="7B346C6D" w14:textId="77777777">
            <w:pPr>
              <w:keepNext/>
              <w:jc w:val="center"/>
              <w:rPr>
                <w:b/>
                <w:bCs/>
                <w:i/>
                <w:iCs/>
              </w:rPr>
            </w:pPr>
            <w:r>
              <w:rPr>
                <w:b/>
                <w:bCs/>
                <w:i/>
                <w:iCs/>
              </w:rPr>
              <w:t>Text proposed by the European Commission</w:t>
            </w:r>
          </w:p>
        </w:tc>
        <w:tc>
          <w:tcPr>
            <w:tcW w:w="4645" w:type="dxa"/>
          </w:tcPr>
          <w:p w:rsidR="00A81B47" w:rsidP="00C1355C" w:rsidRDefault="005106FD" w14:paraId="253096AC" w14:textId="77777777">
            <w:pPr>
              <w:keepNext/>
              <w:jc w:val="center"/>
              <w:rPr>
                <w:b/>
                <w:bCs/>
                <w:i/>
                <w:iCs/>
              </w:rPr>
            </w:pPr>
            <w:r>
              <w:rPr>
                <w:b/>
                <w:bCs/>
                <w:i/>
                <w:iCs/>
              </w:rPr>
              <w:t>CoR amendment</w:t>
            </w:r>
          </w:p>
        </w:tc>
      </w:tr>
      <w:tr w:rsidR="00A81B47" w14:paraId="0E9B810D" w14:textId="77777777">
        <w:trPr>
          <w:trHeight w:val="300"/>
        </w:trPr>
        <w:tc>
          <w:tcPr>
            <w:tcW w:w="4642" w:type="dxa"/>
          </w:tcPr>
          <w:p w:rsidR="00A81B47" w:rsidP="00C1355C" w:rsidRDefault="005106FD" w14:paraId="5F150ABA" w14:textId="560F07D7">
            <w:pPr>
              <w:tabs>
                <w:tab w:val="left" w:pos="306"/>
              </w:tabs>
            </w:pPr>
            <w:r>
              <w:t xml:space="preserve">1. The Commission shall establish the EU central interface as part of the European electronic access point to BRIS as referred to in Article 22 of Directive (EU) 2017/1132. </w:t>
            </w:r>
          </w:p>
          <w:p w:rsidR="00A81B47" w:rsidP="00C1355C" w:rsidRDefault="005106FD" w14:paraId="45496287" w14:textId="6BE3EE70">
            <w:pPr>
              <w:tabs>
                <w:tab w:val="left" w:pos="306"/>
              </w:tabs>
            </w:pPr>
            <w:r>
              <w:t>2. The Commission shall make available electronically in all Union languages the EU templates referred to in Article 8, the application form referred to in Article 13 and relevant detailed guidance for the registration of and filing by an EU Inc. on the EU central interface.</w:t>
            </w:r>
          </w:p>
          <w:p w:rsidR="00A81B47" w:rsidP="00C1355C" w:rsidRDefault="005106FD" w14:paraId="2B55B088" w14:textId="6E79E7A6">
            <w:pPr>
              <w:tabs>
                <w:tab w:val="left" w:pos="306"/>
              </w:tabs>
            </w:pPr>
            <w:r>
              <w:t>3. Where an EU Inc. is formed through the EU central interface in accordance with Articles 16 and 17, the Commission shall ensure that the interface, through BRIS, transmits to the business register of the Member State of registration the application form and the articles of association. That business register shall share such data with national preventive control authorities.</w:t>
            </w:r>
          </w:p>
          <w:p w:rsidR="00A81B47" w:rsidP="00C1355C" w:rsidRDefault="005106FD" w14:paraId="116222EE" w14:textId="56D95CCC">
            <w:pPr>
              <w:tabs>
                <w:tab w:val="left" w:pos="306"/>
              </w:tabs>
            </w:pPr>
            <w:r>
              <w:t>4. The decision to register an EU Inc. in the national business register shall remain the responsibility of the competent national authority in accordance with national law compliant with the provisions of this Regulation and other Union law.</w:t>
            </w:r>
          </w:p>
          <w:p w:rsidR="00A81B47" w:rsidP="00C1355C" w:rsidRDefault="005106FD" w14:paraId="7CE2CFE9" w14:textId="550A85FA">
            <w:pPr>
              <w:tabs>
                <w:tab w:val="left" w:pos="306"/>
              </w:tabs>
            </w:pPr>
            <w:r>
              <w:t>5. The EU central interface shall enable real-time tracking of the registration status of a company.</w:t>
            </w:r>
          </w:p>
          <w:p w:rsidR="00A81B47" w:rsidP="00C1355C" w:rsidRDefault="005106FD" w14:paraId="244F1A7A" w14:textId="48F43650">
            <w:pPr>
              <w:tabs>
                <w:tab w:val="left" w:pos="306"/>
              </w:tabs>
            </w:pPr>
            <w:r>
              <w:t>6. The EU central interface shall provide information about the registration of intellectual property rights, including trade marks and designs.</w:t>
            </w:r>
          </w:p>
          <w:p w:rsidR="00A81B47" w:rsidP="00C1355C" w:rsidRDefault="005106FD" w14:paraId="2D6F42BA" w14:textId="213FFAE5">
            <w:pPr>
              <w:rPr>
                <w:szCs w:val="22"/>
              </w:rPr>
            </w:pPr>
            <w:r>
              <w:t>7. EU Inc. companies shall be able to file documents and information in accordance with Article 25(1) and Article 27(1) through the EU central interface.</w:t>
            </w:r>
          </w:p>
        </w:tc>
        <w:tc>
          <w:tcPr>
            <w:tcW w:w="4645" w:type="dxa"/>
          </w:tcPr>
          <w:p w:rsidR="00A81B47" w:rsidP="00C1355C" w:rsidRDefault="005106FD" w14:paraId="2B18391D" w14:textId="1D51668D">
            <w:pPr>
              <w:tabs>
                <w:tab w:val="left" w:pos="306"/>
              </w:tabs>
              <w:ind w:left="59"/>
              <w:rPr>
                <w:b/>
                <w:bCs/>
              </w:rPr>
            </w:pPr>
            <w:r>
              <w:t xml:space="preserve">1. The Commission shall establish the EU central interface as part of the European electronic access point to BRIS as referred to in Article 22 of Directive (EU) 2017/1132. </w:t>
            </w:r>
            <w:r>
              <w:rPr>
                <w:b/>
                <w:bCs/>
                <w:i/>
                <w:iCs/>
              </w:rPr>
              <w:t>The EU central interface shall be configured as a European point of access, transmission, and consultation of information relating to EU Inc. companies. It shall not constitute a centralised European corporate registry and shall not replace the statutory, regulatory, or constitutive functions of national business registries.</w:t>
            </w:r>
          </w:p>
          <w:p w:rsidR="00A81B47" w:rsidP="00C1355C" w:rsidRDefault="005106FD" w14:paraId="5B53E281" w14:textId="61A750E3">
            <w:pPr>
              <w:tabs>
                <w:tab w:val="left" w:pos="306"/>
              </w:tabs>
              <w:ind w:left="59"/>
            </w:pPr>
            <w:r>
              <w:t xml:space="preserve">2. The Commission shall make available electronically in all Union languages the EU templates referred to in Article 8, the application form referred to in Article 13 and relevant detailed guidance for the registration of and filing by an EU Inc. on the EU central interface. </w:t>
            </w:r>
          </w:p>
          <w:p w:rsidR="00A81B47" w:rsidP="00C1355C" w:rsidRDefault="005106FD" w14:paraId="3C2547F4" w14:textId="31E2241C">
            <w:pPr>
              <w:tabs>
                <w:tab w:val="left" w:pos="306"/>
              </w:tabs>
              <w:ind w:left="59"/>
            </w:pPr>
            <w:r>
              <w:t>3. Where an EU Inc. is formed through the EU central interface in accordance with Articles 16 and 17, the Commission shall ensure that the interface, through BRIS, transmits to the business register of the Member State of registration the application form and the articles of association. That business register shall share such data with national preventive control authorities.</w:t>
            </w:r>
          </w:p>
          <w:p w:rsidR="00A81B47" w:rsidP="00C1355C" w:rsidRDefault="005106FD" w14:paraId="7D46345A" w14:textId="4B1ED043">
            <w:pPr>
              <w:tabs>
                <w:tab w:val="left" w:pos="306"/>
              </w:tabs>
              <w:ind w:left="59"/>
            </w:pPr>
            <w:r>
              <w:t>4. The decision to register an EU Inc. in the national business register shall remain the responsibility of the competent national authority in accordance with national law compliant with the provisions of this Regulation and other Union law.</w:t>
            </w:r>
          </w:p>
          <w:p w:rsidR="00A81B47" w:rsidP="00C1355C" w:rsidRDefault="005106FD" w14:paraId="0953634D" w14:textId="77777777">
            <w:pPr>
              <w:tabs>
                <w:tab w:val="left" w:pos="306"/>
              </w:tabs>
              <w:ind w:left="59"/>
              <w:rPr>
                <w:b/>
                <w:bCs/>
                <w:i/>
                <w:iCs/>
              </w:rPr>
            </w:pPr>
            <w:r>
              <w:rPr>
                <w:b/>
                <w:bCs/>
                <w:i/>
                <w:iCs/>
              </w:rPr>
              <w:t>4a. Any registration, filing, or amendment of corporate data shall only produce legal effects, constitutive or otherwise, upon its formal entry into the national business register of the Member State of incorporation.</w:t>
            </w:r>
          </w:p>
          <w:p w:rsidR="00A81B47" w:rsidP="00C1355C" w:rsidRDefault="005106FD" w14:paraId="5F152529" w14:textId="1E8D9776">
            <w:pPr>
              <w:tabs>
                <w:tab w:val="left" w:pos="306"/>
              </w:tabs>
              <w:ind w:left="59"/>
            </w:pPr>
            <w:r>
              <w:t>5. The EU central interface shall enable real-time tracking of the registration status of a company.</w:t>
            </w:r>
          </w:p>
          <w:p w:rsidR="00A81B47" w:rsidP="00C1355C" w:rsidRDefault="005106FD" w14:paraId="493F8BD5" w14:textId="16CE5E48">
            <w:pPr>
              <w:tabs>
                <w:tab w:val="left" w:pos="306"/>
              </w:tabs>
              <w:ind w:left="59"/>
            </w:pPr>
            <w:r>
              <w:t>6. The EU central interface shall provide information about the registration of intellectual property rights, including trade marks and designs.</w:t>
            </w:r>
          </w:p>
          <w:p w:rsidR="00A81B47" w:rsidP="00C1355C" w:rsidRDefault="005106FD" w14:paraId="205F99C9" w14:textId="7D4A53D6">
            <w:pPr>
              <w:rPr>
                <w:b/>
                <w:i/>
              </w:rPr>
            </w:pPr>
            <w:r>
              <w:t>7. EU Inc. companies shall be able to file documents and information in accordance with Article 25(1) and Article 27(1) through the EU central interface.</w:t>
            </w:r>
          </w:p>
        </w:tc>
      </w:tr>
    </w:tbl>
    <w:p w:rsidR="00A81B47" w:rsidP="00C1355C" w:rsidRDefault="00A81B47" w14:paraId="7EB278B4" w14:textId="77777777">
      <w:pPr>
        <w:rPr>
          <w:rFonts w:ascii="Aptos" w:hAnsi="Aptos" w:eastAsia="Aptos" w:cs="Aptos"/>
          <w:sz w:val="24"/>
          <w:szCs w:val="24"/>
          <w:highlight w:val="yellow"/>
        </w:rPr>
      </w:pPr>
    </w:p>
    <w:p w:rsidR="00A81B47" w:rsidP="00C1355C" w:rsidRDefault="005106FD" w14:paraId="0A8DDF8C" w14:textId="5B512D8F">
      <w:pPr>
        <w:keepNext/>
        <w:jc w:val="center"/>
        <w:rPr>
          <w:b/>
          <w:bCs/>
        </w:rPr>
      </w:pPr>
      <w:r>
        <w:rPr>
          <w:b/>
        </w:rPr>
        <w:t>Amendment 10</w:t>
      </w:r>
    </w:p>
    <w:p w:rsidR="00A81B47" w:rsidP="00C1355C" w:rsidRDefault="005106FD" w14:paraId="39CC88A4" w14:textId="5BD2FE6C">
      <w:pPr>
        <w:keepNext/>
        <w:jc w:val="center"/>
      </w:pPr>
      <w:r>
        <w:t>COM(2026) 321</w:t>
      </w:r>
    </w:p>
    <w:p w:rsidR="00A81B47" w:rsidP="00C1355C" w:rsidRDefault="005106FD" w14:paraId="7FC5C3D7" w14:textId="4137BCC0">
      <w:pPr>
        <w:keepNext/>
        <w:jc w:val="center"/>
        <w:rPr>
          <w:szCs w:val="22"/>
        </w:rPr>
      </w:pPr>
      <w:r>
        <w:rPr>
          <w:szCs w:val="22"/>
        </w:rPr>
        <w:t xml:space="preserve">Article 16. </w:t>
      </w:r>
    </w:p>
    <w:p w:rsidR="00A81B47" w:rsidP="00C1355C" w:rsidRDefault="005106FD" w14:paraId="60F701F8" w14:textId="1250E84C">
      <w:pPr>
        <w:keepNext/>
        <w:jc w:val="center"/>
        <w:rPr>
          <w:szCs w:val="22"/>
        </w:rPr>
      </w:pPr>
      <w:r>
        <w:rPr>
          <w:szCs w:val="22"/>
        </w:rPr>
        <w:t>Amend</w:t>
      </w:r>
    </w:p>
    <w:p w:rsidR="00A81B47" w:rsidP="00C1355C" w:rsidRDefault="00A81B47" w14:paraId="3942700A"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3449E5F1" w14:textId="77777777">
        <w:trPr>
          <w:trHeight w:val="300"/>
        </w:trPr>
        <w:tc>
          <w:tcPr>
            <w:tcW w:w="4528" w:type="dxa"/>
          </w:tcPr>
          <w:p w:rsidR="00A81B47" w:rsidP="00C1355C" w:rsidRDefault="005106FD" w14:paraId="7F137276" w14:textId="77777777">
            <w:pPr>
              <w:keepNext/>
              <w:jc w:val="center"/>
              <w:rPr>
                <w:b/>
                <w:bCs/>
                <w:i/>
                <w:iCs/>
              </w:rPr>
            </w:pPr>
            <w:r>
              <w:rPr>
                <w:b/>
                <w:bCs/>
                <w:i/>
                <w:iCs/>
              </w:rPr>
              <w:t>Text proposed by the European Commission</w:t>
            </w:r>
          </w:p>
        </w:tc>
        <w:tc>
          <w:tcPr>
            <w:tcW w:w="4529" w:type="dxa"/>
          </w:tcPr>
          <w:p w:rsidR="00A81B47" w:rsidP="00C1355C" w:rsidRDefault="005106FD" w14:paraId="281B243C" w14:textId="77777777">
            <w:pPr>
              <w:keepNext/>
              <w:jc w:val="center"/>
              <w:rPr>
                <w:b/>
                <w:bCs/>
                <w:i/>
                <w:iCs/>
              </w:rPr>
            </w:pPr>
            <w:r>
              <w:rPr>
                <w:b/>
                <w:bCs/>
                <w:i/>
                <w:iCs/>
              </w:rPr>
              <w:t>CoR amendment</w:t>
            </w:r>
          </w:p>
        </w:tc>
      </w:tr>
      <w:tr w:rsidR="00A81B47" w14:paraId="7C675E5F" w14:textId="77777777">
        <w:trPr>
          <w:trHeight w:val="300"/>
        </w:trPr>
        <w:tc>
          <w:tcPr>
            <w:tcW w:w="4528" w:type="dxa"/>
          </w:tcPr>
          <w:p w:rsidR="00A81B47" w:rsidP="00C1355C" w:rsidRDefault="005106FD" w14:paraId="3370C0D6" w14:textId="77777777">
            <w:r>
              <w:t xml:space="preserve">1. Where an EU Inc. is formed through the EU central interface the prospective directors shall submit the application form referred to in Article 13 together with the EU templates referred to in Article 8. </w:t>
            </w:r>
          </w:p>
          <w:p w:rsidR="00A81B47" w:rsidP="00C1355C" w:rsidRDefault="005106FD" w14:paraId="07A2A78A" w14:textId="77777777">
            <w:r>
              <w:t xml:space="preserve">2. Member States shall ensure that the preventive control carried out in accordance with Article 14 and the registration of the EU Inc. is completed within </w:t>
            </w:r>
            <w:r>
              <w:rPr>
                <w:b/>
                <w:bCs/>
                <w:i/>
                <w:iCs/>
              </w:rPr>
              <w:t>48 hours</w:t>
            </w:r>
            <w:r>
              <w:t xml:space="preserve"> from the submission of the documents referred to in paragraph 1 through the EU central interface and with a maximum cost of EUR 100 or equivalent sum in the currency applicable in the Member State of registration. </w:t>
            </w:r>
          </w:p>
          <w:p w:rsidR="00A81B47" w:rsidP="00C1355C" w:rsidRDefault="005106FD" w14:paraId="120727B8" w14:textId="5E66BAAE">
            <w:pPr>
              <w:rPr>
                <w:rFonts w:eastAsia="Myriad Pro"/>
              </w:rPr>
            </w:pPr>
            <w:r>
              <w:t>In case of those Member States which have not adopted the euro, the amount in national currency equivalent to the amount set out in subparagraph 1 shall be that obtained by applying the exchange rate published in the Official Journal of the European Union as at the date of the entry into force of any Regulation setting that amount. For the purposes of conversion into the national currencies of those Member States which have not adopted the euro, the amount in euro specified in subparagraph 1 may be increased or decreased by not more than 5 % in order to produce round sum amounts in the national currencies.</w:t>
            </w:r>
          </w:p>
        </w:tc>
        <w:tc>
          <w:tcPr>
            <w:tcW w:w="4529" w:type="dxa"/>
          </w:tcPr>
          <w:p w:rsidR="00A81B47" w:rsidP="00C1355C" w:rsidRDefault="005106FD" w14:paraId="481D1290" w14:textId="77777777">
            <w:r>
              <w:t xml:space="preserve">1. Where an EU Inc. is formed through the EU central interface the prospective directors shall submit the application form referred to in Article 13 together with the EU templates referred to in Article 8. </w:t>
            </w:r>
          </w:p>
          <w:p w:rsidR="00A81B47" w:rsidP="00C1355C" w:rsidRDefault="005106FD" w14:paraId="1E5DE86B" w14:textId="77777777">
            <w:r>
              <w:t xml:space="preserve">2. Member States shall ensure that the preventive control carried out in accordance with Article 14 and the registration of the EU Inc. is completed within </w:t>
            </w:r>
            <w:r>
              <w:rPr>
                <w:b/>
                <w:bCs/>
                <w:i/>
                <w:iCs/>
              </w:rPr>
              <w:t>2 working days</w:t>
            </w:r>
            <w:r>
              <w:t xml:space="preserve"> from the submission of the documents referred to in paragraph 1 through the EU central interface and with a maximum cost of EUR 100 or equivalent sum in the currency applicable in the Member State of registration. </w:t>
            </w:r>
          </w:p>
          <w:p w:rsidR="00A81B47" w:rsidP="00C1355C" w:rsidRDefault="005106FD" w14:paraId="13AA1D00" w14:textId="77777777">
            <w:pPr>
              <w:rPr>
                <w:b/>
                <w:bCs/>
                <w:i/>
                <w:iCs/>
              </w:rPr>
            </w:pPr>
            <w:r>
              <w:rPr>
                <w:b/>
                <w:bCs/>
                <w:i/>
                <w:iCs/>
              </w:rPr>
              <w:t xml:space="preserve">Member States shall ensure that the accelerated procedure does not compromise the effectiveness and quality of preventive controls. </w:t>
            </w:r>
          </w:p>
          <w:p w:rsidR="00A81B47" w:rsidP="00C1355C" w:rsidRDefault="005106FD" w14:paraId="378B772A" w14:textId="5F76AF0B">
            <w:pPr>
              <w:rPr>
                <w:rFonts w:eastAsia="Myriad Pro"/>
              </w:rPr>
            </w:pPr>
            <w:r>
              <w:t>In case of those Member States which have not adopted the euro, the amount in national currency equivalent to the amount set out in subparagraph 1 shall be that obtained by applying the exchange rate published in the Official Journal of the European Union as at the date of the entry into force of any Regulation setting that amount. For the purposes of conversion into the national currencies of those Member States which have not adopted the euro, the amount in euro specified in subparagraph 1 may be increased or decreased by not more than 5 % in order to produce round sum amounts in the national currencies.</w:t>
            </w:r>
          </w:p>
        </w:tc>
      </w:tr>
    </w:tbl>
    <w:p w:rsidR="00A81B47" w:rsidP="00C1355C" w:rsidRDefault="00A81B47" w14:paraId="249C53BB" w14:textId="77777777">
      <w:pPr>
        <w:rPr>
          <w:rFonts w:eastAsia="Aptos"/>
          <w:szCs w:val="22"/>
          <w:highlight w:val="yellow"/>
        </w:rPr>
      </w:pPr>
    </w:p>
    <w:p w:rsidR="00A81B47" w:rsidP="00C1355C" w:rsidRDefault="005106FD" w14:paraId="0C908023" w14:textId="544DAA3B">
      <w:pPr>
        <w:keepNext/>
        <w:jc w:val="center"/>
        <w:rPr>
          <w:b/>
          <w:bCs/>
        </w:rPr>
      </w:pPr>
      <w:r>
        <w:rPr>
          <w:b/>
        </w:rPr>
        <w:t>Amendment 11</w:t>
      </w:r>
    </w:p>
    <w:p w:rsidR="00A81B47" w:rsidP="00C1355C" w:rsidRDefault="005106FD" w14:paraId="77A60BAE" w14:textId="4FC465B4">
      <w:pPr>
        <w:keepNext/>
        <w:jc w:val="center"/>
        <w:rPr>
          <w:bCs/>
        </w:rPr>
      </w:pPr>
      <w:r>
        <w:rPr>
          <w:bCs/>
        </w:rPr>
        <w:t>COM(2026) 321</w:t>
      </w:r>
    </w:p>
    <w:p w:rsidR="00A81B47" w:rsidP="00C1355C" w:rsidRDefault="005106FD" w14:paraId="1E9066F4" w14:textId="39DACE3E">
      <w:pPr>
        <w:keepNext/>
        <w:jc w:val="center"/>
        <w:rPr>
          <w:szCs w:val="22"/>
        </w:rPr>
      </w:pPr>
      <w:r>
        <w:rPr>
          <w:szCs w:val="22"/>
        </w:rPr>
        <w:t>Article 59</w:t>
      </w:r>
    </w:p>
    <w:p w:rsidR="00A81B47" w:rsidP="00C1355C" w:rsidRDefault="005106FD" w14:paraId="24CA66E0" w14:textId="1A2704A1">
      <w:pPr>
        <w:keepNext/>
        <w:jc w:val="center"/>
        <w:rPr>
          <w:szCs w:val="22"/>
        </w:rPr>
      </w:pPr>
      <w:r>
        <w:rPr>
          <w:szCs w:val="22"/>
        </w:rPr>
        <w:t>Amend</w:t>
      </w:r>
    </w:p>
    <w:p w:rsidR="00A81B47" w:rsidP="00C1355C" w:rsidRDefault="00A81B47" w14:paraId="03529A47" w14:textId="77777777">
      <w:pPr>
        <w:keepNext/>
        <w:jc w:val="center"/>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46950E5A" w14:textId="77777777">
        <w:trPr>
          <w:trHeight w:val="300"/>
        </w:trPr>
        <w:tc>
          <w:tcPr>
            <w:tcW w:w="4528" w:type="dxa"/>
          </w:tcPr>
          <w:p w:rsidR="00A81B47" w:rsidP="00C1355C" w:rsidRDefault="005106FD" w14:paraId="03D956C0" w14:textId="77777777">
            <w:pPr>
              <w:keepNext/>
              <w:jc w:val="center"/>
              <w:rPr>
                <w:b/>
                <w:bCs/>
                <w:i/>
                <w:iCs/>
              </w:rPr>
            </w:pPr>
            <w:r>
              <w:rPr>
                <w:b/>
                <w:bCs/>
                <w:i/>
                <w:iCs/>
              </w:rPr>
              <w:t>Text proposed by the European Commission</w:t>
            </w:r>
          </w:p>
        </w:tc>
        <w:tc>
          <w:tcPr>
            <w:tcW w:w="4529" w:type="dxa"/>
          </w:tcPr>
          <w:p w:rsidR="00A81B47" w:rsidP="00C1355C" w:rsidRDefault="005106FD" w14:paraId="43E1C024" w14:textId="77777777">
            <w:pPr>
              <w:keepNext/>
              <w:jc w:val="center"/>
              <w:rPr>
                <w:b/>
                <w:bCs/>
                <w:i/>
                <w:iCs/>
              </w:rPr>
            </w:pPr>
            <w:r>
              <w:rPr>
                <w:b/>
                <w:bCs/>
                <w:i/>
                <w:iCs/>
              </w:rPr>
              <w:t>CoR amendment</w:t>
            </w:r>
          </w:p>
        </w:tc>
      </w:tr>
      <w:tr w:rsidR="00A81B47" w14:paraId="655757F5" w14:textId="77777777">
        <w:trPr>
          <w:trHeight w:val="300"/>
        </w:trPr>
        <w:tc>
          <w:tcPr>
            <w:tcW w:w="4528" w:type="dxa"/>
          </w:tcPr>
          <w:p w:rsidR="00A81B47" w:rsidP="00C1355C" w:rsidRDefault="005106FD" w14:paraId="09FD377E" w14:textId="69957FB0">
            <w:r>
              <w:t>1. The transfer of shares and the registration of a transfer of shares in the digital register of shares may be concluded fully online.</w:t>
            </w:r>
          </w:p>
          <w:p w:rsidR="00A81B47" w:rsidP="00C1355C" w:rsidRDefault="005106FD" w14:paraId="52469FD5" w14:textId="77777777">
            <w:r>
              <w:t xml:space="preserve">2. Member States shall not impose any requirements or conditions restricting the ability to conclude the transfer of shares and the registration of a transfer of shares fully online. </w:t>
            </w:r>
          </w:p>
          <w:p w:rsidR="00A81B47" w:rsidP="00C1355C" w:rsidRDefault="005106FD" w14:paraId="7A6E9E05" w14:textId="39F88D11">
            <w:r>
              <w:t>3. The transfer of shares shall be deemed to be valid through an agreement sealed using a qualified electronic seal or signed using qualified electronic signature within the meaning of Regulation (EU) No 910/2014, including through the European Business Wallets as referred to in [</w:t>
            </w:r>
            <w:r>
              <w:rPr>
                <w:i/>
                <w:iCs/>
              </w:rPr>
              <w:t>PO: Reference to Proposal for a Regulation of the European Parliament and of the Council on the establishment of European Business Wallets</w:t>
            </w:r>
            <w:r>
              <w:t>].</w:t>
            </w:r>
          </w:p>
          <w:p w:rsidR="00A81B47" w:rsidP="00C1355C" w:rsidRDefault="005106FD" w14:paraId="00B11863" w14:textId="783BD4F2">
            <w:r>
              <w:t>4. Where a party is unable to provide a qualified electronic seal or a qualified electronic signature referred to in sub-paragraph 1, the transfer may be concluded via an advanced electronic signature or advanced electronic seal within the meaning of Regulation (EU) No 910/2014, provided it is accompanied by evidence of identity verified through a qualified trust service provider within the meaning of Regulation (EU) No 910/2014.</w:t>
            </w:r>
          </w:p>
          <w:p w:rsidR="00A81B47" w:rsidP="00C1355C" w:rsidRDefault="005106FD" w14:paraId="2501371A" w14:textId="77777777">
            <w:r>
              <w:t>5</w:t>
            </w:r>
            <w:r>
              <w:rPr>
                <w:b/>
                <w:bCs/>
              </w:rPr>
              <w:t xml:space="preserve">. </w:t>
            </w:r>
            <w:r>
              <w:rPr>
                <w:b/>
                <w:bCs/>
                <w:i/>
                <w:iCs/>
              </w:rPr>
              <w:t>Member States shall not impose any additional formalities, including a requirement for a notarial deed, for the transfer to be legally valid.</w:t>
            </w:r>
            <w:r>
              <w:t xml:space="preserve"> </w:t>
            </w:r>
          </w:p>
          <w:p w:rsidR="00A81B47" w:rsidP="00C1355C" w:rsidRDefault="005106FD" w14:paraId="3AABAF92" w14:textId="77777777">
            <w:r>
              <w:t xml:space="preserve">6. The transfer of shares shall only become effective once it has been recorded in the digital register of shares. Both parties to the share transfer shall notify the share transfer to the EU Inc. company in writing through digital means and submit the signed agreement along with the information specified in Article 54(1). </w:t>
            </w:r>
          </w:p>
          <w:p w:rsidR="00A81B47" w:rsidP="00C1355C" w:rsidRDefault="005106FD" w14:paraId="677B522F" w14:textId="1558E2EE">
            <w:r>
              <w:t>7. Upon receipt of a complete notification of a share transfer, the EU Inc. company shall review the documentation to verify the legal title of the transferor to transfer the share and compliance with the company’s articles of association.</w:t>
            </w:r>
          </w:p>
          <w:p w:rsidR="00A81B47" w:rsidP="00C1355C" w:rsidRDefault="005106FD" w14:paraId="010CCB04" w14:textId="161993E4">
            <w:r>
              <w:t>8. The EU Inc. company shall register the transfer in its digital register of shares or inform the parties to the agreement on the grounds for refusing the registration within three working days of receiving the complete notification under paragraph 4.</w:t>
            </w:r>
          </w:p>
          <w:p w:rsidR="00A81B47" w:rsidP="00C1355C" w:rsidRDefault="005106FD" w14:paraId="62D5082E" w14:textId="376D3655">
            <w:r>
              <w:t>9. The EU Inc. company shall issue a digital share certificate to the new shareholder immediately upon registering the transfer in the digital register of shares.</w:t>
            </w:r>
          </w:p>
          <w:p w:rsidR="00A81B47" w:rsidP="00C1355C" w:rsidRDefault="005106FD" w14:paraId="5F547466" w14:textId="7FA1FB2D">
            <w:r>
              <w:t>10. Any rectification of the data recorded in a digital register of shares in cases of manifest errors, technical errors, fraud, or where the company fails to record a validly executed transfer shall be carried out in accordance with national law.</w:t>
            </w:r>
          </w:p>
        </w:tc>
        <w:tc>
          <w:tcPr>
            <w:tcW w:w="4529" w:type="dxa"/>
          </w:tcPr>
          <w:p w:rsidR="00A81B47" w:rsidP="00C1355C" w:rsidRDefault="005106FD" w14:paraId="3BBAFDAC" w14:textId="59786021">
            <w:r>
              <w:t>1. The transfer of shares and the registration of a transfer of shares in the digital register of shares may be concluded fully online.</w:t>
            </w:r>
          </w:p>
          <w:p w:rsidR="00A81B47" w:rsidP="00C1355C" w:rsidRDefault="005106FD" w14:paraId="0FA28954" w14:textId="77777777">
            <w:r>
              <w:t xml:space="preserve">2. Member States shall not impose any requirements or conditions restricting the ability to conclude the transfer of shares and the registration of a transfer of shares fully online. </w:t>
            </w:r>
          </w:p>
          <w:p w:rsidR="00A81B47" w:rsidP="00C1355C" w:rsidRDefault="005106FD" w14:paraId="697B06D2" w14:textId="61FAD15B">
            <w:r>
              <w:t>3. The transfer of shares shall be deemed to be valid through an agreement sealed using a qualified electronic seal or signed using qualified electronic signature within the meaning of Regulation (EU) No 910/2014, including through the European Business Wallets as referred to in [</w:t>
            </w:r>
            <w:r>
              <w:rPr>
                <w:i/>
                <w:iCs/>
              </w:rPr>
              <w:t>PO: Reference to Proposal for a Regulation of the European Parliament and of the Council on the establishment of European Business Wallets</w:t>
            </w:r>
            <w:r>
              <w:t>].</w:t>
            </w:r>
          </w:p>
          <w:p w:rsidR="00A81B47" w:rsidP="00C1355C" w:rsidRDefault="005106FD" w14:paraId="2FC1A60B" w14:textId="387B8A1C">
            <w:r>
              <w:t>4. Where a party is unable to provide a qualified electronic seal or a qualified electronic signature referred to in sub-paragraph 1, the transfer may be concluded via an advanced electronic signature or advanced electronic seal within the meaning of Regulation (EU) No 910/2014, provided it is accompanied by evidence of identity verified through a qualified trust service provider within the meaning of Regulation (EU) No 910/2014.</w:t>
            </w:r>
          </w:p>
          <w:p w:rsidR="00A81B47" w:rsidP="00C1355C" w:rsidRDefault="005106FD" w14:paraId="330BC239" w14:textId="7615A01C">
            <w:r>
              <w:t xml:space="preserve">5. </w:t>
            </w:r>
            <w:r>
              <w:rPr>
                <w:b/>
                <w:bCs/>
                <w:i/>
                <w:iCs/>
              </w:rPr>
              <w:t>The requirements of paragraphs 1, 2 and 3 shall be without prejudice to national laws that, in accordance with Member States’ legal systems, require that the transfer be drawn up and certified in due legal form. In that case the Member State shall ensure that the procedure for the transfer is in accordance with Article 10.</w:t>
            </w:r>
          </w:p>
          <w:p w:rsidR="00A81B47" w:rsidP="00C1355C" w:rsidRDefault="005106FD" w14:paraId="6526D075" w14:textId="12EF8DB4">
            <w:r>
              <w:t>6. The transfer of shares shall only become effective once it has been recorded in the digital register of shares. Both parties to the share transfer shall notify the share transfer to the EU Inc. company in writing through digital means and submit the signed agreement along with the information specified in Article 54(1).</w:t>
            </w:r>
          </w:p>
          <w:p w:rsidR="00A81B47" w:rsidP="00C1355C" w:rsidRDefault="005106FD" w14:paraId="1D180AD9" w14:textId="0D24C5FB">
            <w:r>
              <w:t>7. Upon receipt of a complete notification of a share transfer, the EU Inc. company shall review the documentation to verify the legal title of the transferor to transfer the share and compliance with the company’s articles of association.</w:t>
            </w:r>
          </w:p>
          <w:p w:rsidR="00A81B47" w:rsidP="00C1355C" w:rsidRDefault="005106FD" w14:paraId="3E64E15A" w14:textId="0BC374C6">
            <w:r>
              <w:t>8. The EU Inc. company shall register the transfer in its digital register of shares or inform the parties to the agreement on the grounds for refusing the registration within three working days of receiving the complete notification under paragraph 4.</w:t>
            </w:r>
          </w:p>
          <w:p w:rsidR="00A81B47" w:rsidP="00C1355C" w:rsidRDefault="005106FD" w14:paraId="3F260E37" w14:textId="553DCBF1">
            <w:r>
              <w:t>9. The EU Inc. company shall issue a digital share certificate to the new shareholder immediately upon registering the transfer in the digital register of shares.</w:t>
            </w:r>
          </w:p>
          <w:p w:rsidR="00A81B47" w:rsidP="00C1355C" w:rsidRDefault="005106FD" w14:paraId="460267DD" w14:textId="42311EEC">
            <w:r>
              <w:t>10. Any rectification of the data recorded in a digital register of shares in cases of manifest errors, technical errors, fraud, or where the company fails to record a validly executed transfer shall be carried out in accordance with national law.</w:t>
            </w:r>
          </w:p>
        </w:tc>
      </w:tr>
    </w:tbl>
    <w:p w:rsidR="00A81B47" w:rsidP="00C1355C" w:rsidRDefault="00A81B47" w14:paraId="62D64791" w14:textId="77777777">
      <w:pPr>
        <w:rPr>
          <w:rFonts w:ascii="Aptos" w:hAnsi="Aptos" w:eastAsia="Aptos" w:cs="Aptos"/>
          <w:sz w:val="24"/>
          <w:szCs w:val="24"/>
          <w:highlight w:val="yellow"/>
        </w:rPr>
      </w:pPr>
    </w:p>
    <w:p w:rsidR="00A81B47" w:rsidP="00C1355C" w:rsidRDefault="005106FD" w14:paraId="7C6D1C11" w14:textId="42887DC3">
      <w:pPr>
        <w:keepNext/>
        <w:jc w:val="center"/>
        <w:rPr>
          <w:b/>
          <w:bCs/>
        </w:rPr>
      </w:pPr>
      <w:r>
        <w:rPr>
          <w:b/>
        </w:rPr>
        <w:t>Amendment 12</w:t>
      </w:r>
    </w:p>
    <w:p w:rsidR="00A81B47" w:rsidP="00C1355C" w:rsidRDefault="005106FD" w14:paraId="26DAFE81" w14:textId="3548229F">
      <w:pPr>
        <w:keepNext/>
        <w:jc w:val="center"/>
        <w:rPr>
          <w:bCs/>
        </w:rPr>
      </w:pPr>
      <w:r>
        <w:rPr>
          <w:bCs/>
        </w:rPr>
        <w:t>COM(2026) 321</w:t>
      </w:r>
    </w:p>
    <w:p w:rsidR="00A81B47" w:rsidP="00C1355C" w:rsidRDefault="005106FD" w14:paraId="00DAC0D9" w14:textId="65E961BD">
      <w:pPr>
        <w:keepNext/>
        <w:jc w:val="center"/>
        <w:rPr>
          <w:b/>
          <w:i/>
          <w:szCs w:val="22"/>
        </w:rPr>
      </w:pPr>
      <w:r>
        <w:rPr>
          <w:szCs w:val="22"/>
        </w:rPr>
        <w:t xml:space="preserve">Article 78(1) </w:t>
      </w:r>
    </w:p>
    <w:p w:rsidR="00A81B47" w:rsidP="00C1355C" w:rsidRDefault="005106FD" w14:paraId="6325044B" w14:textId="455773EA">
      <w:pPr>
        <w:keepNext/>
        <w:jc w:val="center"/>
        <w:rPr>
          <w:bCs/>
          <w:iCs/>
          <w:szCs w:val="22"/>
        </w:rPr>
      </w:pPr>
      <w:r>
        <w:rPr>
          <w:bCs/>
          <w:iCs/>
          <w:szCs w:val="22"/>
        </w:rPr>
        <w:t>Amend</w:t>
      </w:r>
    </w:p>
    <w:p w:rsidR="00A81B47" w:rsidP="00C1355C" w:rsidRDefault="00A81B47" w14:paraId="29F934DF"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166AB9CD" w14:textId="77777777">
        <w:trPr>
          <w:trHeight w:val="300"/>
        </w:trPr>
        <w:tc>
          <w:tcPr>
            <w:tcW w:w="4528" w:type="dxa"/>
          </w:tcPr>
          <w:p w:rsidR="00A81B47" w:rsidP="00C1355C" w:rsidRDefault="005106FD" w14:paraId="1E22ABAF" w14:textId="77777777">
            <w:pPr>
              <w:keepNext/>
              <w:jc w:val="center"/>
              <w:rPr>
                <w:b/>
                <w:bCs/>
                <w:i/>
                <w:iCs/>
              </w:rPr>
            </w:pPr>
            <w:r>
              <w:rPr>
                <w:b/>
                <w:bCs/>
                <w:i/>
                <w:iCs/>
              </w:rPr>
              <w:t>Text proposed by the European Commission</w:t>
            </w:r>
          </w:p>
        </w:tc>
        <w:tc>
          <w:tcPr>
            <w:tcW w:w="4529" w:type="dxa"/>
          </w:tcPr>
          <w:p w:rsidR="00A81B47" w:rsidP="00C1355C" w:rsidRDefault="005106FD" w14:paraId="33210FDF" w14:textId="77777777">
            <w:pPr>
              <w:keepNext/>
              <w:jc w:val="center"/>
              <w:rPr>
                <w:b/>
                <w:bCs/>
                <w:i/>
                <w:iCs/>
              </w:rPr>
            </w:pPr>
            <w:r>
              <w:rPr>
                <w:b/>
                <w:bCs/>
                <w:i/>
                <w:iCs/>
              </w:rPr>
              <w:t>CoR amendment</w:t>
            </w:r>
          </w:p>
        </w:tc>
      </w:tr>
      <w:tr w:rsidR="00A81B47" w14:paraId="1605184B" w14:textId="77777777">
        <w:trPr>
          <w:trHeight w:val="300"/>
        </w:trPr>
        <w:tc>
          <w:tcPr>
            <w:tcW w:w="4528" w:type="dxa"/>
          </w:tcPr>
          <w:p w:rsidR="00A81B47" w:rsidP="00C1355C" w:rsidRDefault="005106FD" w14:paraId="3C534821" w14:textId="27A44784">
            <w:r>
              <w:t>1. The company may establish an EU employee stock option plan (EU-ESO) under which it issues warrants to eligible persons.</w:t>
            </w:r>
          </w:p>
        </w:tc>
        <w:tc>
          <w:tcPr>
            <w:tcW w:w="4529" w:type="dxa"/>
          </w:tcPr>
          <w:p w:rsidR="00A81B47" w:rsidP="00C1355C" w:rsidRDefault="005106FD" w14:paraId="4DFDA08D" w14:textId="7BEAF894">
            <w:pPr>
              <w:pStyle w:val="Default"/>
              <w:spacing w:line="288" w:lineRule="auto"/>
              <w:jc w:val="both"/>
              <w:rPr>
                <w:sz w:val="22"/>
                <w:szCs w:val="22"/>
                <w:lang w:val="en-GB"/>
              </w:rPr>
            </w:pPr>
            <w:r>
              <w:rPr>
                <w:sz w:val="22"/>
                <w:szCs w:val="22"/>
                <w:lang w:val="en-GB"/>
              </w:rPr>
              <w:t xml:space="preserve">1. The company may establish an EU employee stock option plan (EU-ESO) under which it issues warrants to eligible persons. </w:t>
            </w:r>
            <w:r>
              <w:rPr>
                <w:b/>
                <w:bCs/>
                <w:i/>
                <w:iCs/>
                <w:sz w:val="22"/>
                <w:szCs w:val="22"/>
                <w:lang w:val="en-GB"/>
              </w:rPr>
              <w:t>Such EU-ESOs must not replace or diminish the renumeration of employees.</w:t>
            </w:r>
          </w:p>
        </w:tc>
      </w:tr>
    </w:tbl>
    <w:p w:rsidR="00A81B47" w:rsidP="00C1355C" w:rsidRDefault="00A81B47" w14:paraId="69B85E52" w14:textId="77777777"/>
    <w:p w:rsidR="00A81B47" w:rsidP="00C1355C" w:rsidRDefault="005106FD" w14:paraId="3D0322BB" w14:textId="094D8400">
      <w:pPr>
        <w:keepNext/>
        <w:jc w:val="center"/>
        <w:rPr>
          <w:b/>
          <w:bCs/>
        </w:rPr>
      </w:pPr>
      <w:r>
        <w:rPr>
          <w:b/>
        </w:rPr>
        <w:t>Amendment 13</w:t>
      </w:r>
    </w:p>
    <w:p w:rsidR="00A81B47" w:rsidP="00C1355C" w:rsidRDefault="005106FD" w14:paraId="6286D98F" w14:textId="4F1FEDC7">
      <w:pPr>
        <w:keepNext/>
        <w:jc w:val="center"/>
        <w:rPr>
          <w:bCs/>
        </w:rPr>
      </w:pPr>
      <w:r>
        <w:rPr>
          <w:bCs/>
        </w:rPr>
        <w:t>COM(2026) 321</w:t>
      </w:r>
    </w:p>
    <w:p w:rsidR="00A81B47" w:rsidP="00C1355C" w:rsidRDefault="005106FD" w14:paraId="3C58277E" w14:textId="6715612D">
      <w:pPr>
        <w:keepNext/>
        <w:jc w:val="center"/>
        <w:rPr>
          <w:b/>
          <w:i/>
          <w:szCs w:val="22"/>
        </w:rPr>
      </w:pPr>
      <w:r>
        <w:rPr>
          <w:szCs w:val="22"/>
        </w:rPr>
        <w:t>Article 83(1)</w:t>
      </w:r>
    </w:p>
    <w:p w:rsidR="00A81B47" w:rsidP="00C1355C" w:rsidRDefault="005106FD" w14:paraId="24C05BC4" w14:textId="3A4DC705">
      <w:pPr>
        <w:keepNext/>
        <w:jc w:val="center"/>
      </w:pPr>
      <w:r>
        <w:t>Amend</w:t>
      </w:r>
    </w:p>
    <w:p w:rsidR="00A81B47" w:rsidP="00C1355C" w:rsidRDefault="00A81B47" w14:paraId="1CEFD229"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3E0CDD50" w14:textId="77777777">
        <w:trPr>
          <w:trHeight w:val="300"/>
        </w:trPr>
        <w:tc>
          <w:tcPr>
            <w:tcW w:w="4528" w:type="dxa"/>
          </w:tcPr>
          <w:p w:rsidR="00A81B47" w:rsidP="00C1355C" w:rsidRDefault="005106FD" w14:paraId="375E2A04" w14:textId="77777777">
            <w:pPr>
              <w:keepNext/>
              <w:jc w:val="center"/>
              <w:rPr>
                <w:b/>
                <w:bCs/>
                <w:i/>
                <w:iCs/>
              </w:rPr>
            </w:pPr>
            <w:r>
              <w:rPr>
                <w:b/>
                <w:bCs/>
                <w:i/>
                <w:iCs/>
              </w:rPr>
              <w:t>Text proposed by the European Commission</w:t>
            </w:r>
          </w:p>
        </w:tc>
        <w:tc>
          <w:tcPr>
            <w:tcW w:w="4529" w:type="dxa"/>
          </w:tcPr>
          <w:p w:rsidR="00A81B47" w:rsidP="00C1355C" w:rsidRDefault="005106FD" w14:paraId="327E9AFE" w14:textId="77777777">
            <w:pPr>
              <w:keepNext/>
              <w:jc w:val="center"/>
              <w:rPr>
                <w:b/>
                <w:bCs/>
                <w:i/>
                <w:iCs/>
              </w:rPr>
            </w:pPr>
            <w:r>
              <w:rPr>
                <w:b/>
                <w:bCs/>
                <w:i/>
                <w:iCs/>
              </w:rPr>
              <w:t>CoR amendment</w:t>
            </w:r>
          </w:p>
        </w:tc>
      </w:tr>
      <w:tr w:rsidR="00A81B47" w14:paraId="11FA9AC7" w14:textId="77777777">
        <w:trPr>
          <w:trHeight w:val="300"/>
        </w:trPr>
        <w:tc>
          <w:tcPr>
            <w:tcW w:w="4528" w:type="dxa"/>
          </w:tcPr>
          <w:p w:rsidR="00A81B47" w:rsidP="00C1355C" w:rsidRDefault="005106FD" w14:paraId="3B7866E5" w14:textId="77777777">
            <w:r>
              <w:t xml:space="preserve">1. A solvent EU Inc. company shall benefit from a fast-track liquidation procedure provided that, at the date of the resolution or event triggering its dissolution referred to in Article 80, the following conditions are met: </w:t>
            </w:r>
          </w:p>
          <w:p w:rsidR="00A81B47" w:rsidP="00C1355C" w:rsidRDefault="005106FD" w14:paraId="1510336A" w14:textId="1FC899E9">
            <w:pPr>
              <w:numPr>
                <w:ilvl w:val="1"/>
                <w:numId w:val="9"/>
              </w:numPr>
            </w:pPr>
            <w:r>
              <w:t xml:space="preserve">a) the EU Inc. has ceased its economic activity; </w:t>
            </w:r>
          </w:p>
          <w:p w:rsidR="00A81B47" w:rsidP="00C1355C" w:rsidRDefault="005106FD" w14:paraId="29912347" w14:textId="77777777">
            <w:pPr>
              <w:numPr>
                <w:ilvl w:val="1"/>
                <w:numId w:val="9"/>
              </w:numPr>
            </w:pPr>
            <w:r>
              <w:t xml:space="preserve">b) the EU Inc. has no assets or all such assets have given rise to distributions to the shareholders in accordance with Article 72 prior to or simultaneously with the filing of the notification of dissolution; </w:t>
            </w:r>
          </w:p>
          <w:p w:rsidR="00A81B47" w:rsidP="00C1355C" w:rsidRDefault="005106FD" w14:paraId="4003365B" w14:textId="77777777">
            <w:pPr>
              <w:numPr>
                <w:ilvl w:val="1"/>
                <w:numId w:val="9"/>
              </w:numPr>
            </w:pPr>
            <w:r>
              <w:t xml:space="preserve">c) the EU Inc. has no liabilities; </w:t>
            </w:r>
          </w:p>
          <w:p w:rsidR="00A81B47" w:rsidP="00C1355C" w:rsidRDefault="005106FD" w14:paraId="5CBD076D" w14:textId="2FEDC31F">
            <w:pPr>
              <w:numPr>
                <w:ilvl w:val="1"/>
                <w:numId w:val="9"/>
              </w:numPr>
            </w:pPr>
            <w:r>
              <w:t xml:space="preserve">d) the EU Inc. is not subject to any pending administrative or judicial proceedings. </w:t>
            </w:r>
          </w:p>
        </w:tc>
        <w:tc>
          <w:tcPr>
            <w:tcW w:w="4529" w:type="dxa"/>
          </w:tcPr>
          <w:p w:rsidR="00A81B47" w:rsidP="00C1355C" w:rsidRDefault="005106FD" w14:paraId="6446A9D4" w14:textId="77777777">
            <w:r>
              <w:t xml:space="preserve">1. A solvent EU Inc. company shall benefit from a fast-track liquidation procedure provided that, at the date of the resolution or event triggering its dissolution referred to in Article 80, the following conditions are met: </w:t>
            </w:r>
          </w:p>
          <w:p w:rsidR="00A81B47" w:rsidP="00C1355C" w:rsidRDefault="005106FD" w14:paraId="05EE0F9F" w14:textId="283ABBFE">
            <w:pPr>
              <w:numPr>
                <w:ilvl w:val="1"/>
                <w:numId w:val="9"/>
              </w:numPr>
            </w:pPr>
            <w:r>
              <w:t xml:space="preserve">a) the EU Inc. has ceased its economic activity; </w:t>
            </w:r>
          </w:p>
          <w:p w:rsidR="00A81B47" w:rsidP="00C1355C" w:rsidRDefault="005106FD" w14:paraId="18DA05EE" w14:textId="77777777">
            <w:pPr>
              <w:numPr>
                <w:ilvl w:val="1"/>
                <w:numId w:val="9"/>
              </w:numPr>
            </w:pPr>
            <w:r>
              <w:t xml:space="preserve">b) the EU Inc. has no assets or all such assets have given rise to distributions to the shareholders in accordance with Article 72 prior to or simultaneously with the filing of the notification of dissolution; </w:t>
            </w:r>
          </w:p>
          <w:p w:rsidR="00A81B47" w:rsidP="00C1355C" w:rsidRDefault="005106FD" w14:paraId="7F2233A7" w14:textId="352C8360">
            <w:pPr>
              <w:numPr>
                <w:ilvl w:val="1"/>
                <w:numId w:val="9"/>
              </w:numPr>
            </w:pPr>
            <w:r>
              <w:t>c) the EU Inc. has no liabilities</w:t>
            </w:r>
            <w:r>
              <w:rPr>
                <w:b/>
                <w:i/>
              </w:rPr>
              <w:t>, including no outstanding wages, severance pay or social security contributions for employees</w:t>
            </w:r>
            <w:r>
              <w:t>;</w:t>
            </w:r>
          </w:p>
          <w:p w:rsidR="00A81B47" w:rsidP="00C1355C" w:rsidRDefault="005106FD" w14:paraId="461E42EF" w14:textId="1DACC6C9">
            <w:pPr>
              <w:numPr>
                <w:ilvl w:val="1"/>
                <w:numId w:val="9"/>
              </w:numPr>
            </w:pPr>
            <w:r>
              <w:t>d) the EU Inc. is not subject to any pending administrative or judicial proceedings.</w:t>
            </w:r>
          </w:p>
        </w:tc>
      </w:tr>
    </w:tbl>
    <w:p w:rsidR="00A81B47" w:rsidP="00C1355C" w:rsidRDefault="00A81B47" w14:paraId="103F04C7" w14:textId="77777777"/>
    <w:p w:rsidR="00A81B47" w:rsidP="00C1355C" w:rsidRDefault="005106FD" w14:paraId="56D036D1" w14:textId="5554085B">
      <w:pPr>
        <w:keepNext/>
        <w:jc w:val="center"/>
        <w:rPr>
          <w:b/>
          <w:bCs/>
        </w:rPr>
      </w:pPr>
      <w:r>
        <w:rPr>
          <w:b/>
        </w:rPr>
        <w:t>Amendment 14</w:t>
      </w:r>
    </w:p>
    <w:p w:rsidR="00A81B47" w:rsidP="00C1355C" w:rsidRDefault="005106FD" w14:paraId="1A13C063" w14:textId="3655516B">
      <w:pPr>
        <w:keepNext/>
        <w:jc w:val="center"/>
      </w:pPr>
      <w:r>
        <w:t>COM(2026) 321</w:t>
      </w:r>
    </w:p>
    <w:p w:rsidR="00A81B47" w:rsidP="00C1355C" w:rsidRDefault="005106FD" w14:paraId="0CD3E3FE" w14:textId="3A3DD749">
      <w:pPr>
        <w:keepNext/>
        <w:jc w:val="center"/>
        <w:rPr>
          <w:szCs w:val="22"/>
        </w:rPr>
      </w:pPr>
      <w:r>
        <w:rPr>
          <w:szCs w:val="22"/>
        </w:rPr>
        <w:t>Article 90</w:t>
      </w:r>
    </w:p>
    <w:p w:rsidR="00A81B47" w:rsidP="00C1355C" w:rsidRDefault="005106FD" w14:paraId="37DE489D" w14:textId="7178E07C">
      <w:pPr>
        <w:keepNext/>
        <w:jc w:val="center"/>
        <w:rPr>
          <w:szCs w:val="22"/>
        </w:rPr>
      </w:pPr>
      <w:r>
        <w:rPr>
          <w:szCs w:val="22"/>
        </w:rPr>
        <w:t>Amend</w:t>
      </w:r>
    </w:p>
    <w:p w:rsidR="00A81B47" w:rsidP="00C1355C" w:rsidRDefault="00A81B47" w14:paraId="431C653B" w14:textId="77777777">
      <w:pPr>
        <w:keepNext/>
        <w:jc w:val="center"/>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59D056DC" w14:textId="77777777">
        <w:trPr>
          <w:trHeight w:val="300"/>
        </w:trPr>
        <w:tc>
          <w:tcPr>
            <w:tcW w:w="4528" w:type="dxa"/>
          </w:tcPr>
          <w:p w:rsidR="00A81B47" w:rsidP="00C1355C" w:rsidRDefault="005106FD" w14:paraId="6594717F" w14:textId="77777777">
            <w:pPr>
              <w:keepNext/>
              <w:jc w:val="center"/>
              <w:rPr>
                <w:b/>
                <w:bCs/>
                <w:i/>
                <w:iCs/>
              </w:rPr>
            </w:pPr>
            <w:r>
              <w:rPr>
                <w:b/>
                <w:bCs/>
                <w:i/>
                <w:iCs/>
              </w:rPr>
              <w:t>Text proposed by the European Commission</w:t>
            </w:r>
          </w:p>
        </w:tc>
        <w:tc>
          <w:tcPr>
            <w:tcW w:w="4529" w:type="dxa"/>
          </w:tcPr>
          <w:p w:rsidR="00A81B47" w:rsidP="00C1355C" w:rsidRDefault="005106FD" w14:paraId="0AD2F366" w14:textId="77777777">
            <w:pPr>
              <w:keepNext/>
              <w:jc w:val="center"/>
              <w:rPr>
                <w:b/>
                <w:bCs/>
                <w:i/>
                <w:iCs/>
              </w:rPr>
            </w:pPr>
            <w:r>
              <w:rPr>
                <w:b/>
                <w:bCs/>
                <w:i/>
                <w:iCs/>
              </w:rPr>
              <w:t>CoR amendment</w:t>
            </w:r>
          </w:p>
        </w:tc>
      </w:tr>
      <w:tr w:rsidR="00A81B47" w14:paraId="2801A192" w14:textId="77777777">
        <w:trPr>
          <w:trHeight w:val="300"/>
        </w:trPr>
        <w:tc>
          <w:tcPr>
            <w:tcW w:w="4528" w:type="dxa"/>
          </w:tcPr>
          <w:p w:rsidR="00A81B47" w:rsidP="00C1355C" w:rsidRDefault="005106FD" w14:paraId="6244E681" w14:textId="77777777">
            <w:r>
              <w:t xml:space="preserve">1. An insolvency practitioner within the meaning of Article 2, point (5), of Regulation (EU) 2015/848 of the European Parliament and of the Council shall be appointed when simplified winding-up proceedings are opened. </w:t>
            </w:r>
          </w:p>
          <w:p w:rsidR="00A81B47" w:rsidP="00C1355C" w:rsidRDefault="005106FD" w14:paraId="28A128B7" w14:textId="408F9CE9">
            <w:r>
              <w:t>2. By way of derogation from paragraph 1, the debtor, a creditor or a group of creditors may request that an insolvency practitioner is not appointed provided that the EU Inc. innovative startup demonstrates that it has an up-to-date current balance sheet and that it has submitted its most recent required annual statement to the relevant national authorities.</w:t>
            </w:r>
          </w:p>
        </w:tc>
        <w:tc>
          <w:tcPr>
            <w:tcW w:w="4529" w:type="dxa"/>
          </w:tcPr>
          <w:p w:rsidR="00A81B47" w:rsidP="00C1355C" w:rsidRDefault="005106FD" w14:paraId="5EA11F65" w14:textId="77777777">
            <w:r>
              <w:t xml:space="preserve">1. An insolvency practitioner within the meaning of Article 2, point (5), of Regulation (EU) 2015/848 of the European Parliament and of the Council shall be appointed when simplified winding-up proceedings are opened. </w:t>
            </w:r>
          </w:p>
          <w:p w:rsidR="00A81B47" w:rsidP="00C1355C" w:rsidRDefault="005106FD" w14:paraId="663E4C31" w14:textId="77777777">
            <w:r>
              <w:t>2. By way of derogation from paragraph 1, the debtor, a creditor or a group of creditors may request that an insolvency practitioner is not appointed provided that the EU Inc. innovative startup demonstrates that it has an up-to-date current balance sheet and that it has submitted its most recent required annual statement to the relevant national authorities.</w:t>
            </w:r>
          </w:p>
          <w:p w:rsidR="00A81B47" w:rsidP="00C1355C" w:rsidRDefault="005106FD" w14:paraId="49A3B272" w14:textId="1AD8AB4B">
            <w:pPr>
              <w:rPr>
                <w:b/>
                <w:i/>
                <w:iCs/>
              </w:rPr>
            </w:pPr>
            <w:r>
              <w:rPr>
                <w:rFonts w:eastAsia="Myriad Pro"/>
                <w:b/>
                <w:bCs/>
                <w:i/>
                <w:iCs/>
              </w:rPr>
              <w:t>3. The court or competent authority shall reject the request to dispense with the appointment of an insolvency practitioner pursuant to paragraph 2 where: (a) the members of the management or supervisory body of the debtor, or shareholders holding a controlling interest, have been convicted by a final judgment in any Member State for bankruptcy fraud, corporate crimes, tax offences, or cybercrimes within the five years preceding the request; or (b) there are reasonable grounds to suspect fraudulent, reckless, or abusive conduct by the management or controlling shareholders that requires an independent investigation in the interest of the creditors.</w:t>
            </w:r>
          </w:p>
        </w:tc>
      </w:tr>
    </w:tbl>
    <w:p w:rsidR="00A81B47" w:rsidP="00C1355C" w:rsidRDefault="00A81B47" w14:paraId="294420BD" w14:textId="77777777"/>
    <w:p w:rsidR="00A81B47" w:rsidP="00C1355C" w:rsidRDefault="005106FD" w14:paraId="35A8C934" w14:textId="61D6ABB6">
      <w:pPr>
        <w:keepNext/>
        <w:jc w:val="center"/>
        <w:rPr>
          <w:b/>
          <w:bCs/>
        </w:rPr>
      </w:pPr>
      <w:r>
        <w:rPr>
          <w:b/>
        </w:rPr>
        <w:t>Amendment 15</w:t>
      </w:r>
    </w:p>
    <w:p w:rsidR="00A81B47" w:rsidP="00C1355C" w:rsidRDefault="005106FD" w14:paraId="3ACEB266" w14:textId="1A105CE4">
      <w:pPr>
        <w:keepNext/>
        <w:jc w:val="center"/>
        <w:rPr>
          <w:b/>
        </w:rPr>
      </w:pPr>
      <w:r>
        <w:t>COM(2026) 321</w:t>
      </w:r>
    </w:p>
    <w:p w:rsidR="00A81B47" w:rsidP="00C1355C" w:rsidRDefault="005106FD" w14:paraId="273BA1DD" w14:textId="213F4DB7">
      <w:pPr>
        <w:keepNext/>
        <w:jc w:val="center"/>
        <w:rPr>
          <w:szCs w:val="22"/>
        </w:rPr>
      </w:pPr>
      <w:r>
        <w:rPr>
          <w:szCs w:val="22"/>
        </w:rPr>
        <w:t>Article 92</w:t>
      </w:r>
    </w:p>
    <w:p w:rsidR="00A81B47" w:rsidP="00C1355C" w:rsidRDefault="005106FD" w14:paraId="146BCDC0" w14:textId="12A73E58">
      <w:pPr>
        <w:keepNext/>
        <w:jc w:val="center"/>
      </w:pPr>
      <w:r>
        <w:rPr>
          <w:szCs w:val="22"/>
        </w:rPr>
        <w:t>Amend</w:t>
      </w:r>
    </w:p>
    <w:p w:rsidR="00A81B47" w:rsidP="00C1355C" w:rsidRDefault="00A81B47" w14:paraId="35BD6A30"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0E3BC7A0" w14:textId="77777777">
        <w:trPr>
          <w:trHeight w:val="300"/>
        </w:trPr>
        <w:tc>
          <w:tcPr>
            <w:tcW w:w="4528" w:type="dxa"/>
          </w:tcPr>
          <w:p w:rsidR="00A81B47" w:rsidP="00C1355C" w:rsidRDefault="005106FD" w14:paraId="3E9F712E" w14:textId="77777777">
            <w:pPr>
              <w:keepNext/>
              <w:jc w:val="center"/>
              <w:rPr>
                <w:b/>
                <w:bCs/>
                <w:i/>
                <w:iCs/>
              </w:rPr>
            </w:pPr>
            <w:r>
              <w:rPr>
                <w:b/>
                <w:bCs/>
                <w:i/>
                <w:iCs/>
              </w:rPr>
              <w:t>Text proposed by the European Commission</w:t>
            </w:r>
          </w:p>
        </w:tc>
        <w:tc>
          <w:tcPr>
            <w:tcW w:w="4529" w:type="dxa"/>
          </w:tcPr>
          <w:p w:rsidR="00A81B47" w:rsidP="00C1355C" w:rsidRDefault="005106FD" w14:paraId="05C5BEF7" w14:textId="77777777">
            <w:pPr>
              <w:keepNext/>
              <w:jc w:val="center"/>
              <w:rPr>
                <w:b/>
                <w:bCs/>
                <w:i/>
                <w:iCs/>
              </w:rPr>
            </w:pPr>
            <w:r>
              <w:rPr>
                <w:b/>
                <w:bCs/>
                <w:i/>
                <w:iCs/>
              </w:rPr>
              <w:t>CoR amendment</w:t>
            </w:r>
          </w:p>
        </w:tc>
      </w:tr>
      <w:tr w:rsidR="00A81B47" w14:paraId="0247E1D3" w14:textId="77777777">
        <w:trPr>
          <w:trHeight w:val="300"/>
        </w:trPr>
        <w:tc>
          <w:tcPr>
            <w:tcW w:w="4528" w:type="dxa"/>
          </w:tcPr>
          <w:p w:rsidR="00A81B47" w:rsidP="00C1355C" w:rsidRDefault="005106FD" w14:paraId="152F7B16" w14:textId="14CD4F18">
            <w:pPr>
              <w:tabs>
                <w:tab w:val="left" w:pos="306"/>
              </w:tabs>
            </w:pPr>
            <w:r>
              <w:t>1. An insolvent EU Inc. innovative startup or any creditor of the insolvent EU Inc. innovative startup can submit a request for the opening of simplified winding-up proceedings to a court or a competent authority.</w:t>
            </w:r>
          </w:p>
          <w:p w:rsidR="00A81B47" w:rsidP="00C1355C" w:rsidRDefault="005106FD" w14:paraId="5991ACF8" w14:textId="38D9E27D">
            <w:pPr>
              <w:tabs>
                <w:tab w:val="left" w:pos="306"/>
              </w:tabs>
            </w:pPr>
            <w:r>
              <w:t>2. The request for the opening of simplified winding-up proceedings shall be submitted using a standard form. The representation by a lawyer or another legal professional shall not be compulsory.</w:t>
            </w:r>
          </w:p>
          <w:p w:rsidR="00A81B47" w:rsidP="00C1355C" w:rsidRDefault="005106FD" w14:paraId="44A585DA" w14:textId="023E2BAD">
            <w:pPr>
              <w:tabs>
                <w:tab w:val="left" w:pos="306"/>
              </w:tabs>
            </w:pPr>
            <w:r>
              <w:t>3. The standard form referred to in paragraph 2 shall contain at least the following information:</w:t>
            </w:r>
          </w:p>
          <w:p w:rsidR="00A81B47" w:rsidP="00C1355C" w:rsidRDefault="005106FD" w14:paraId="1D0CDB48" w14:textId="77777777">
            <w:pPr>
              <w:tabs>
                <w:tab w:val="left" w:pos="306"/>
              </w:tabs>
            </w:pPr>
            <w:r>
              <w:t>(a)</w:t>
            </w:r>
            <w:r>
              <w:tab/>
              <w:t>where an EU Inc. innovative startup is a legal person, the debtor’s name, registration number, registered office or, if different, postal address;</w:t>
            </w:r>
          </w:p>
          <w:p w:rsidR="00A81B47" w:rsidP="00C1355C" w:rsidRDefault="005106FD" w14:paraId="11451FE4" w14:textId="4B3280E9">
            <w:pPr>
              <w:tabs>
                <w:tab w:val="left" w:pos="306"/>
              </w:tabs>
            </w:pPr>
            <w:r>
              <w:t>(b) if an EU Inc. innovative startup is an entrepreneur, the debtor’s name, registration number, if any, and postal address or, where the address is protected, the debtor's place and date of birth;</w:t>
            </w:r>
          </w:p>
          <w:p w:rsidR="00A81B47" w:rsidP="00C1355C" w:rsidRDefault="005106FD" w14:paraId="23E5334A" w14:textId="77777777">
            <w:pPr>
              <w:tabs>
                <w:tab w:val="left" w:pos="306"/>
              </w:tabs>
            </w:pPr>
            <w:r>
              <w:t>(c)</w:t>
            </w:r>
            <w:r>
              <w:tab/>
              <w:t>a list of the assets of the EU Inc. innovative startup;</w:t>
            </w:r>
          </w:p>
          <w:p w:rsidR="00A81B47" w:rsidP="00C1355C" w:rsidRDefault="005106FD" w14:paraId="2AED5FF9" w14:textId="3215ED1D">
            <w:pPr>
              <w:tabs>
                <w:tab w:val="left" w:pos="306"/>
              </w:tabs>
            </w:pPr>
            <w:r>
              <w:t>(d) name, address or other contact details of creditors of the EU Inc. innovative startup, as known at the time of the submission of the request,</w:t>
            </w:r>
          </w:p>
          <w:p w:rsidR="00A81B47" w:rsidP="00C1355C" w:rsidRDefault="005106FD" w14:paraId="6F878EDF" w14:textId="6D7D1261">
            <w:pPr>
              <w:tabs>
                <w:tab w:val="left" w:pos="306"/>
              </w:tabs>
            </w:pPr>
            <w:r>
              <w:t>(e) the list of the claims against the EU Inc. innovative startup and, for each claim, its amount specifying the principal and, where applicable, interest and the date on which it arose and the date on which it became due, if different;</w:t>
            </w:r>
          </w:p>
          <w:p w:rsidR="00A81B47" w:rsidP="00C1355C" w:rsidRDefault="005106FD" w14:paraId="3E8102CA" w14:textId="77777777">
            <w:pPr>
              <w:tabs>
                <w:tab w:val="left" w:pos="306"/>
              </w:tabs>
            </w:pPr>
            <w:r>
              <w:t>(f)</w:t>
            </w:r>
            <w:r>
              <w:tab/>
              <w:t>if security in rem or a reservation of title is alleged in respect of a certain claim and, if so, what assets are covered by the security interest.</w:t>
            </w:r>
          </w:p>
          <w:p w:rsidR="00A81B47" w:rsidP="00C1355C" w:rsidRDefault="005106FD" w14:paraId="2665F9F4" w14:textId="6F445F06">
            <w:pPr>
              <w:rPr>
                <w:szCs w:val="22"/>
              </w:rPr>
            </w:pPr>
            <w:r>
              <w:t>4. The Commission shall establish the standard form referred to in paragraph 3 by means of implementing acts by [PO: the last day of the 24th month after the date of entry into force of this Regulation]. Those implementing acts shall be adopted in accordance with the examination procedure referred to in Article 107(3).</w:t>
            </w:r>
          </w:p>
        </w:tc>
        <w:tc>
          <w:tcPr>
            <w:tcW w:w="4529" w:type="dxa"/>
          </w:tcPr>
          <w:p w:rsidR="00A81B47" w:rsidP="00C1355C" w:rsidRDefault="005106FD" w14:paraId="2DD3CBC3" w14:textId="1507321A">
            <w:pPr>
              <w:tabs>
                <w:tab w:val="left" w:pos="306"/>
              </w:tabs>
            </w:pPr>
            <w:r>
              <w:t>1. An insolvent EU Inc. innovative startup or any creditor of the insolvent EU Inc. innovative startup can submit a request for the opening of simplified winding-up proceedings to a court or a competent authority.</w:t>
            </w:r>
          </w:p>
          <w:p w:rsidR="00A81B47" w:rsidP="00C1355C" w:rsidRDefault="005106FD" w14:paraId="313CCE15" w14:textId="5A327D55">
            <w:pPr>
              <w:tabs>
                <w:tab w:val="left" w:pos="306"/>
              </w:tabs>
            </w:pPr>
            <w:r>
              <w:t>2. The request for the opening of simplified winding-up proceedings shall be submitted using a standard form. The representation by a lawyer or another legal professional shall not be compulsory.</w:t>
            </w:r>
          </w:p>
          <w:p w:rsidR="00A81B47" w:rsidP="00C1355C" w:rsidRDefault="005106FD" w14:paraId="04BAD818" w14:textId="3918CE56">
            <w:pPr>
              <w:tabs>
                <w:tab w:val="left" w:pos="306"/>
              </w:tabs>
            </w:pPr>
            <w:r>
              <w:t>3. The standard form referred to in paragraph 2 shall contain at least the following information:</w:t>
            </w:r>
          </w:p>
          <w:p w:rsidR="00A81B47" w:rsidP="00C1355C" w:rsidRDefault="005106FD" w14:paraId="0F00C9BE" w14:textId="77777777">
            <w:pPr>
              <w:tabs>
                <w:tab w:val="left" w:pos="306"/>
              </w:tabs>
            </w:pPr>
            <w:r>
              <w:t>(a)</w:t>
            </w:r>
            <w:r>
              <w:tab/>
              <w:t>where an EU Inc. innovative startup is a legal person, the debtor’s name, registration number, registered office or, if different, postal address;</w:t>
            </w:r>
          </w:p>
          <w:p w:rsidR="00A81B47" w:rsidP="00C1355C" w:rsidRDefault="005106FD" w14:paraId="2C483A44" w14:textId="7692E262">
            <w:pPr>
              <w:tabs>
                <w:tab w:val="left" w:pos="306"/>
              </w:tabs>
            </w:pPr>
            <w:r>
              <w:t>(b) if an EU Inc. innovative startup is an entrepreneur, the debtor’s name, registration number, if any, and postal address or, where the address is protected, the debtor's place and date of birth;</w:t>
            </w:r>
          </w:p>
          <w:p w:rsidR="00A81B47" w:rsidP="00C1355C" w:rsidRDefault="005106FD" w14:paraId="69F01E0A" w14:textId="4912BFF4">
            <w:pPr>
              <w:tabs>
                <w:tab w:val="left" w:pos="306"/>
              </w:tabs>
            </w:pPr>
            <w:r>
              <w:t>(c) a list of the assets of the EU Inc. innovative startup;</w:t>
            </w:r>
          </w:p>
          <w:p w:rsidR="00A81B47" w:rsidP="00C1355C" w:rsidRDefault="005106FD" w14:paraId="3BBD4F95" w14:textId="5FD60D6B">
            <w:pPr>
              <w:tabs>
                <w:tab w:val="left" w:pos="306"/>
              </w:tabs>
            </w:pPr>
            <w:r>
              <w:t>(d) name, address or other contact details of creditors of the EU Inc. innovative startup, as known at the time of the submission of the request,</w:t>
            </w:r>
          </w:p>
          <w:p w:rsidR="00A81B47" w:rsidP="00C1355C" w:rsidRDefault="005106FD" w14:paraId="68A2DAD2" w14:textId="7E49712D">
            <w:pPr>
              <w:tabs>
                <w:tab w:val="left" w:pos="306"/>
              </w:tabs>
            </w:pPr>
            <w:r>
              <w:t>(e) the list of the claims against the EU Inc. innovative startup and, for each claim, its amount specifying the principal and, where applicable, interest and the date on which it arose and the date on which it became due, if different;</w:t>
            </w:r>
          </w:p>
          <w:p w:rsidR="00A81B47" w:rsidP="00C1355C" w:rsidRDefault="005106FD" w14:paraId="4AB1A65F" w14:textId="2C07443F">
            <w:pPr>
              <w:tabs>
                <w:tab w:val="left" w:pos="306"/>
              </w:tabs>
            </w:pPr>
            <w:r>
              <w:t>(f) if security in rem or a reservation of title is alleged in respect of a certain claim and, if so, what assets are covered by the security interest.</w:t>
            </w:r>
          </w:p>
          <w:p w:rsidR="00A81B47" w:rsidP="00C1355C" w:rsidRDefault="005106FD" w14:paraId="1C485C90" w14:textId="77777777">
            <w:pPr>
              <w:tabs>
                <w:tab w:val="left" w:pos="343"/>
              </w:tabs>
              <w:rPr>
                <w:b/>
                <w:bCs/>
                <w:i/>
                <w:iCs/>
              </w:rPr>
            </w:pPr>
            <w:r>
              <w:rPr>
                <w:b/>
                <w:bCs/>
                <w:i/>
                <w:iCs/>
              </w:rPr>
              <w:t>3a. The intentional omission or misrepresentation of assets, liabilities, or creditors shall result in the immediate revocation of the simplified proceedings, the personal and unlimited liability of the directors for any resulting harm to creditors, and the application of criminal or administrative sanctions under national law.</w:t>
            </w:r>
          </w:p>
          <w:p w:rsidR="00A81B47" w:rsidP="00C1355C" w:rsidRDefault="005106FD" w14:paraId="3132BB4A" w14:textId="405ADD56">
            <w:pPr>
              <w:rPr>
                <w:b/>
                <w:i/>
              </w:rPr>
            </w:pPr>
            <w:r>
              <w:t>4. The Commission shall establish the standard form referred to in paragraph 3 by means of implementing acts by [PO: the last day of the 24th month after the date of entry into force of this Regulation]. Those implementing acts shall be adopted in accordance with the examination procedure referred to in Article 107(3).</w:t>
            </w:r>
          </w:p>
        </w:tc>
      </w:tr>
    </w:tbl>
    <w:p w:rsidR="00A81B47" w:rsidP="00C1355C" w:rsidRDefault="00A81B47" w14:paraId="5C8A23A0" w14:textId="77777777"/>
    <w:p w:rsidR="00A81B47" w:rsidP="00C1355C" w:rsidRDefault="005106FD" w14:paraId="3A85A2A4" w14:textId="5046CD62">
      <w:pPr>
        <w:keepNext/>
        <w:jc w:val="center"/>
        <w:rPr>
          <w:b/>
          <w:bCs/>
        </w:rPr>
      </w:pPr>
      <w:r>
        <w:rPr>
          <w:b/>
        </w:rPr>
        <w:t>Amendment 16</w:t>
      </w:r>
    </w:p>
    <w:p w:rsidR="00A81B47" w:rsidP="00C1355C" w:rsidRDefault="005106FD" w14:paraId="69741A0B" w14:textId="1F101A0C">
      <w:pPr>
        <w:keepNext/>
        <w:jc w:val="center"/>
      </w:pPr>
      <w:r>
        <w:t>COM(2026) 321</w:t>
      </w:r>
    </w:p>
    <w:p w:rsidR="00A81B47" w:rsidP="00C1355C" w:rsidRDefault="005106FD" w14:paraId="33BD4E89" w14:textId="14952E77">
      <w:pPr>
        <w:keepNext/>
        <w:jc w:val="center"/>
        <w:rPr>
          <w:szCs w:val="22"/>
        </w:rPr>
      </w:pPr>
      <w:r>
        <w:rPr>
          <w:szCs w:val="22"/>
        </w:rPr>
        <w:t>Article 108</w:t>
      </w:r>
    </w:p>
    <w:p w:rsidR="00A81B47" w:rsidP="00C1355C" w:rsidRDefault="005106FD" w14:paraId="5E740F15" w14:textId="0D75F77E">
      <w:pPr>
        <w:keepNext/>
        <w:jc w:val="center"/>
      </w:pPr>
      <w:r>
        <w:rPr>
          <w:szCs w:val="22"/>
        </w:rPr>
        <w:t>Amend</w:t>
      </w:r>
    </w:p>
    <w:p w:rsidR="00A81B47" w:rsidP="00C1355C" w:rsidRDefault="00A81B47" w14:paraId="007AB943" w14:textId="77777777">
      <w:pPr>
        <w:keepNext/>
        <w:rPr>
          <w:rFonts w:eastAsia="Aptos"/>
          <w:highlight w:val="yellow"/>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28"/>
        <w:gridCol w:w="4529"/>
      </w:tblGrid>
      <w:tr w:rsidR="00A81B47" w14:paraId="2627A1B9" w14:textId="77777777">
        <w:trPr>
          <w:trHeight w:val="300"/>
        </w:trPr>
        <w:tc>
          <w:tcPr>
            <w:tcW w:w="4528" w:type="dxa"/>
          </w:tcPr>
          <w:p w:rsidR="00A81B47" w:rsidP="00C1355C" w:rsidRDefault="005106FD" w14:paraId="7F21EA7F" w14:textId="77777777">
            <w:pPr>
              <w:keepNext/>
              <w:jc w:val="center"/>
              <w:rPr>
                <w:b/>
                <w:bCs/>
                <w:i/>
                <w:iCs/>
              </w:rPr>
            </w:pPr>
            <w:r>
              <w:rPr>
                <w:b/>
                <w:bCs/>
                <w:i/>
                <w:iCs/>
              </w:rPr>
              <w:t>Text proposed by the European Commission</w:t>
            </w:r>
          </w:p>
        </w:tc>
        <w:tc>
          <w:tcPr>
            <w:tcW w:w="4529" w:type="dxa"/>
          </w:tcPr>
          <w:p w:rsidR="00A81B47" w:rsidP="00C1355C" w:rsidRDefault="005106FD" w14:paraId="532DFBF4" w14:textId="77777777">
            <w:pPr>
              <w:keepNext/>
              <w:jc w:val="center"/>
              <w:rPr>
                <w:b/>
                <w:bCs/>
                <w:i/>
                <w:iCs/>
              </w:rPr>
            </w:pPr>
            <w:r>
              <w:rPr>
                <w:b/>
                <w:bCs/>
                <w:i/>
                <w:iCs/>
              </w:rPr>
              <w:t>CoR amendment</w:t>
            </w:r>
          </w:p>
        </w:tc>
      </w:tr>
      <w:tr w:rsidR="00A81B47" w14:paraId="3406C94F" w14:textId="77777777">
        <w:trPr>
          <w:trHeight w:val="300"/>
        </w:trPr>
        <w:tc>
          <w:tcPr>
            <w:tcW w:w="4528" w:type="dxa"/>
          </w:tcPr>
          <w:p w:rsidR="00A81B47" w:rsidP="00C1355C" w:rsidRDefault="005106FD" w14:paraId="59740721" w14:textId="1FAAA290">
            <w:pPr>
              <w:rPr>
                <w:szCs w:val="22"/>
              </w:rPr>
            </w:pPr>
            <w:r>
              <w:t>1. The Commission shall, by [PO: the date five years after the date of application of this Regulation], carry out an evaluation of this Regulation and present a report on the main findings to the European Parliament, the Council and the European Economic and Social Committee. Member States shall provide the Commission with the information necessary for the preparation of the report. The report of the Commission shall in particular evaluate the take up of the EU Inc. new legal form, how the EU Inc. companies were formed and how many were created through the EU central interface and with harmonised templates.</w:t>
            </w:r>
          </w:p>
        </w:tc>
        <w:tc>
          <w:tcPr>
            <w:tcW w:w="4529" w:type="dxa"/>
          </w:tcPr>
          <w:p w:rsidR="00A81B47" w:rsidP="00C1355C" w:rsidRDefault="005106FD" w14:paraId="53425D6C" w14:textId="6A17F400">
            <w:r>
              <w:t xml:space="preserve">1. The Commission shall, by [PO: the date five years after the date of application of this Regulation], carry out an evaluation of this Regulation and present a report on the main findings to the European Parliament, the Council, </w:t>
            </w:r>
            <w:r>
              <w:rPr>
                <w:b/>
                <w:bCs/>
                <w:i/>
                <w:iCs/>
              </w:rPr>
              <w:t>the European Committee of the Regions</w:t>
            </w:r>
            <w:r>
              <w:t xml:space="preserve"> and the European Economic and Social Committee. Member States</w:t>
            </w:r>
            <w:r>
              <w:rPr>
                <w:b/>
                <w:bCs/>
              </w:rPr>
              <w:t xml:space="preserve">, </w:t>
            </w:r>
            <w:r>
              <w:rPr>
                <w:b/>
                <w:bCs/>
                <w:i/>
                <w:iCs/>
              </w:rPr>
              <w:t>after consultation with the relevant stakeholders,</w:t>
            </w:r>
            <w:r>
              <w:t xml:space="preserve"> shall provide the Commission with the information necessary for the preparation of the report. The report of the Commission shall in particular evaluate the take up of the EU Inc. new legal form, how </w:t>
            </w:r>
            <w:r>
              <w:rPr>
                <w:b/>
                <w:bCs/>
                <w:i/>
                <w:iCs/>
              </w:rPr>
              <w:t>and where</w:t>
            </w:r>
            <w:r>
              <w:rPr>
                <w:b/>
                <w:bCs/>
              </w:rPr>
              <w:t xml:space="preserve"> </w:t>
            </w:r>
            <w:r>
              <w:t xml:space="preserve">the EU Inc. companies were formed and how many were created through the EU central interface and with harmonised templates. </w:t>
            </w:r>
            <w:r>
              <w:rPr>
                <w:b/>
                <w:bCs/>
                <w:i/>
                <w:iCs/>
              </w:rPr>
              <w:t>The report shall also assess the impact of this Regulation on economic, social and territorial cohesion, including its effects on labour mobility patterns in the EU, including its social, fiscal and legal consequences.</w:t>
            </w:r>
          </w:p>
        </w:tc>
      </w:tr>
    </w:tbl>
    <w:p w:rsidR="00A81B47" w:rsidP="00C1355C" w:rsidRDefault="00A81B47" w14:paraId="41ABCC17" w14:textId="77777777"/>
    <w:p w:rsidR="00A81B47" w:rsidP="00C1355C" w:rsidRDefault="00A81B47" w14:paraId="3F43B416" w14:textId="77777777"/>
    <w:p w:rsidR="00A81B47" w:rsidP="00C1355C" w:rsidRDefault="005106FD" w14:paraId="69AC7645" w14:textId="10FF61F3">
      <w:pPr>
        <w:keepNext/>
        <w:keepLines/>
        <w:numPr>
          <w:ilvl w:val="0"/>
          <w:numId w:val="21"/>
        </w:numPr>
        <w:ind w:left="567" w:hanging="567"/>
        <w:rPr>
          <w:b/>
        </w:rPr>
      </w:pPr>
      <w:r>
        <w:rPr>
          <w:b/>
          <w:bCs/>
        </w:rPr>
        <w:t>POLICY</w:t>
      </w:r>
      <w:r>
        <w:rPr>
          <w:b/>
        </w:rPr>
        <w:t xml:space="preserve"> RECOMMENDATIONS</w:t>
      </w:r>
    </w:p>
    <w:p w:rsidR="00A81B47" w:rsidP="00C1355C" w:rsidRDefault="00A81B47" w14:paraId="184236FF" w14:textId="77777777">
      <w:pPr>
        <w:keepNext/>
        <w:keepLines/>
      </w:pPr>
    </w:p>
    <w:p w:rsidR="00A81B47" w:rsidP="00C1355C" w:rsidRDefault="005106FD" w14:paraId="5DFD843D" w14:textId="4CF2F54A">
      <w:pPr>
        <w:keepNext/>
        <w:keepLines/>
      </w:pPr>
      <w:r>
        <w:t>THE EUROPEAN COMMITTEE OF THE REGIONS (CoR)</w:t>
      </w:r>
    </w:p>
    <w:p w:rsidR="00A81B47" w:rsidP="00C1355C" w:rsidRDefault="00A81B47" w14:paraId="19C64925" w14:textId="77777777">
      <w:pPr>
        <w:keepNext/>
        <w:keepLines/>
      </w:pPr>
    </w:p>
    <w:p w:rsidR="00A81B47" w:rsidP="00C1355C" w:rsidRDefault="005106FD" w14:paraId="3E4DF7E5" w14:textId="667C678B">
      <w:pPr>
        <w:keepNext/>
        <w:keepLines/>
      </w:pPr>
      <w:r>
        <w:t>Boosting competitiveness and deepening Single Market integration as a strategic priority for the EU</w:t>
      </w:r>
    </w:p>
    <w:p w:rsidR="00A81B47" w:rsidP="00C1355C" w:rsidRDefault="00A81B47" w14:paraId="2B15FAF4" w14:textId="77777777">
      <w:pPr>
        <w:pStyle w:val="ListParagraph"/>
        <w:keepNext/>
        <w:keepLines/>
        <w:ind w:left="0"/>
      </w:pPr>
    </w:p>
    <w:p w:rsidR="00A81B47" w:rsidP="00C1355C" w:rsidRDefault="005106FD" w14:paraId="4CC642EE" w14:textId="208DFA04">
      <w:pPr>
        <w:pStyle w:val="ListParagraph"/>
        <w:numPr>
          <w:ilvl w:val="0"/>
          <w:numId w:val="11"/>
        </w:numPr>
        <w:ind w:left="567" w:hanging="567"/>
      </w:pPr>
      <w:r>
        <w:t>stresses that strengthening European competitiveness is an urgent priority in an increasingly volatile global environment; calls on Member States and EU institutions to accelerate the implementation of structural reforms needed to attract investment and prevent the outflow of talent and capital from the EU;</w:t>
      </w:r>
    </w:p>
    <w:p w:rsidR="00A81B47" w:rsidP="00C1355C" w:rsidRDefault="00A81B47" w14:paraId="2E2B9EE1" w14:textId="77777777">
      <w:pPr>
        <w:pStyle w:val="ListParagraph"/>
        <w:ind w:left="0"/>
      </w:pPr>
    </w:p>
    <w:p w:rsidR="00A81B47" w:rsidP="00C1355C" w:rsidRDefault="005106FD" w14:paraId="637C3A91" w14:textId="646A11D4">
      <w:pPr>
        <w:pStyle w:val="ListParagraph"/>
        <w:numPr>
          <w:ilvl w:val="0"/>
          <w:numId w:val="11"/>
        </w:numPr>
        <w:ind w:left="567" w:hanging="567"/>
      </w:pPr>
      <w:r>
        <w:t>welcomes the Commission’s commitment to developing a 28th-regime framework for companies as part of broader efforts to deepen Single Market integration, in line with the Draghi and Letta reports, the EU Startup and Scaleup Strategy and the One Europe, One Market Roadmap; sees EU Inc., in conjunction with adequate legal and social safeguards, as an important step towards creating a genuine 28th regime for all companies;</w:t>
      </w:r>
    </w:p>
    <w:p w:rsidR="00A81B47" w:rsidP="00C1355C" w:rsidRDefault="00A81B47" w14:paraId="5DA93C2C" w14:textId="77777777"/>
    <w:p w:rsidR="00A81B47" w:rsidP="00C1355C" w:rsidRDefault="005106FD" w14:paraId="2FDFB49A" w14:textId="1EF9011E">
      <w:pPr>
        <w:pStyle w:val="ListParagraph"/>
        <w:numPr>
          <w:ilvl w:val="0"/>
          <w:numId w:val="11"/>
        </w:numPr>
        <w:ind w:left="567" w:hanging="567"/>
      </w:pPr>
      <w:r>
        <w:t>emphasises that Europe’s competitiveness and technological sovereignty depend on excellence, inclusiveness and balanced territorial development, which will also lead to the creation of high-quality jobs across the EU; reiterates that strong regional innovation ecosystems are a prerequisite for sustainable growth and innovation leadership;</w:t>
      </w:r>
    </w:p>
    <w:p w:rsidR="00A81B47" w:rsidP="00C1355C" w:rsidRDefault="00A81B47" w14:paraId="3D0A8D5F" w14:textId="77777777"/>
    <w:p w:rsidR="00A81B47" w:rsidP="00C1355C" w:rsidRDefault="005106FD" w14:paraId="7C702F78" w14:textId="1299D9D2">
      <w:pPr>
        <w:pStyle w:val="ListParagraph"/>
        <w:numPr>
          <w:ilvl w:val="0"/>
          <w:numId w:val="11"/>
        </w:numPr>
        <w:ind w:left="567" w:hanging="567"/>
      </w:pPr>
      <w:r>
        <w:rPr>
          <w:iCs/>
        </w:rPr>
        <w:t>welcomes the aim of the Business in Europe Framework for Income Taxation (BEFIT), as expressed in the Communication Towards a 28th regime for EU companies, to establish a single legislative framework for corporate taxation in the EU;</w:t>
      </w:r>
      <w:r>
        <w:t xml:space="preserve"> stresses that greater tax and regulatory harmonisation should aim to attract investment and enhancing competitiveness across the EU regions, and thereby reduce regulatory and tax arbitrage; </w:t>
      </w:r>
    </w:p>
    <w:p w:rsidR="00A81B47" w:rsidP="00C1355C" w:rsidRDefault="00A81B47" w14:paraId="4B6ADABC" w14:textId="77777777"/>
    <w:p w:rsidR="00A81B47" w:rsidP="00C1355C" w:rsidRDefault="005106FD" w14:paraId="15557481" w14:textId="4D337815">
      <w:pPr>
        <w:keepNext/>
        <w:keepLines/>
      </w:pPr>
      <w:r>
        <w:t>EU Inc. as a legitimate, digital and once-only framework for businesses</w:t>
      </w:r>
    </w:p>
    <w:p w:rsidR="00A81B47" w:rsidP="00C1355C" w:rsidRDefault="00A81B47" w14:paraId="291A27B4" w14:textId="77777777">
      <w:pPr>
        <w:keepNext/>
        <w:keepLines/>
      </w:pPr>
    </w:p>
    <w:p w:rsidR="00A81B47" w:rsidP="00C1355C" w:rsidRDefault="005106FD" w14:paraId="0F8C5C8E" w14:textId="007026A2">
      <w:pPr>
        <w:pStyle w:val="ListParagraph"/>
        <w:numPr>
          <w:ilvl w:val="0"/>
          <w:numId w:val="11"/>
        </w:numPr>
        <w:ind w:left="567" w:hanging="567"/>
      </w:pPr>
      <w:r>
        <w:t>acknowledges that cross-border business creation and scaling remain hindered by the existence of 27 national corporate law systems;</w:t>
      </w:r>
    </w:p>
    <w:p w:rsidR="00A81B47" w:rsidP="00C1355C" w:rsidRDefault="00A81B47" w14:paraId="7EE5A615" w14:textId="77777777"/>
    <w:p w:rsidR="00A81B47" w:rsidP="00C1355C" w:rsidRDefault="005106FD" w14:paraId="62B23DCD" w14:textId="77777777">
      <w:pPr>
        <w:pStyle w:val="ListParagraph"/>
        <w:numPr>
          <w:ilvl w:val="0"/>
          <w:numId w:val="11"/>
        </w:numPr>
        <w:ind w:left="567" w:hanging="567"/>
      </w:pPr>
      <w:r>
        <w:t>welcomes the EU Inc. Regulation as a pragmatic initiative capable of simplifying and digitalising incorporation and business operations, while preserving national competences in sensitive areas such as labour, social and tax law, in line with the subsidiarity principle;</w:t>
      </w:r>
    </w:p>
    <w:p w:rsidR="00A81B47" w:rsidP="00C1355C" w:rsidRDefault="00A81B47" w14:paraId="52E493DC" w14:textId="3428CC98">
      <w:pPr>
        <w:pStyle w:val="ListParagraph"/>
        <w:ind w:left="0"/>
      </w:pPr>
    </w:p>
    <w:p w:rsidR="00A81B47" w:rsidP="00C1355C" w:rsidRDefault="005106FD" w14:paraId="702D9551" w14:textId="35DB89BE">
      <w:pPr>
        <w:pStyle w:val="ListParagraph"/>
        <w:numPr>
          <w:ilvl w:val="0"/>
          <w:numId w:val="11"/>
        </w:numPr>
        <w:ind w:left="567" w:hanging="567"/>
      </w:pPr>
      <w:r>
        <w:rPr>
          <w:iCs/>
          <w:szCs w:val="22"/>
        </w:rPr>
        <w:t>Calls for appropriate safeguards, while avoiding unnecessary regulatory burden, to ensure that the 28th regime does not lead to undermining, reducing, or circumventing the existing protections for workers’ rights and employer obligations at Union and national level</w:t>
      </w:r>
      <w:r>
        <w:t>;</w:t>
      </w:r>
    </w:p>
    <w:p w:rsidR="00A81B47" w:rsidP="00C1355C" w:rsidRDefault="00A81B47" w14:paraId="71BABB4D" w14:textId="77777777"/>
    <w:p w:rsidR="00A81B47" w:rsidP="00C1355C" w:rsidRDefault="005106FD" w14:paraId="4264A67D" w14:textId="31E0EFCF">
      <w:pPr>
        <w:pStyle w:val="ListParagraph"/>
        <w:numPr>
          <w:ilvl w:val="0"/>
          <w:numId w:val="11"/>
        </w:numPr>
        <w:ind w:left="567" w:hanging="567"/>
      </w:pPr>
      <w:r>
        <w:t>supports the objective of 48-hour business registration, calculated in working days, while ensuring legal certainty and maintaining compliance safeguards for anti-money laundering, sanctions, anti-terrorism and identity verification; stresses, however, that the value of EU Inc. lies not only in faster registration procedures, but also in reducing cross-border burdens, improving access to capital, increasing legal certainty and simplifying the business life cycle;</w:t>
      </w:r>
    </w:p>
    <w:p w:rsidR="00A81B47" w:rsidP="00C1355C" w:rsidRDefault="00A81B47" w14:paraId="58CC0E52" w14:textId="77777777"/>
    <w:p w:rsidR="00A81B47" w:rsidP="00C1355C" w:rsidRDefault="005106FD" w14:paraId="60D4CDAA" w14:textId="2884EE4C">
      <w:pPr>
        <w:pStyle w:val="ListParagraph"/>
        <w:numPr>
          <w:ilvl w:val="0"/>
          <w:numId w:val="11"/>
        </w:numPr>
        <w:ind w:left="567" w:hanging="567"/>
      </w:pPr>
      <w:r>
        <w:t>supports the broad scope of the initiative, covering all businesses, and underlines the need for a level playing field, ensuring that startups, scaleups and established companies can expand seamlessly across the Single Market under fair conditions; calls on the Commission to ensure that the 28th regime is designed to be effectively accessible and operationally relevant for all types of enterprises throughout their entire life cycle, including manufacturing, industrial, craft and logistics enterprises, and to provide for appropriate coordination with the legal frameworks of the social and participatory economy, so that cooperatives and other social economy entities may benefit from the simplification opportunities offered by the new regime while preserving their specific characteristics;</w:t>
      </w:r>
    </w:p>
    <w:p w:rsidR="00A81B47" w:rsidP="00C1355C" w:rsidRDefault="00A81B47" w14:paraId="7E54B9CC" w14:textId="77777777"/>
    <w:p w:rsidR="00A81B47" w:rsidP="00C1355C" w:rsidRDefault="005106FD" w14:paraId="70BF741B" w14:textId="4741FF25">
      <w:pPr>
        <w:pStyle w:val="ListParagraph"/>
        <w:numPr>
          <w:ilvl w:val="0"/>
          <w:numId w:val="11"/>
        </w:numPr>
        <w:ind w:left="567" w:hanging="567"/>
      </w:pPr>
      <w:r>
        <w:t>notes that the broad references to national law under Article 4 may create legal uncertainty, regulatory arbitrage and further fragmentation; calls for such references to be limited to clearly defined areas and for the national company-law framework applicable to EU Inc. entities to be more precisely specified in order to ensure greater consistency across the EU;</w:t>
      </w:r>
      <w:r>
        <w:rPr>
          <w:iCs/>
          <w:szCs w:val="22"/>
        </w:rPr>
        <w:t xml:space="preserve"> also </w:t>
      </w:r>
      <w:r>
        <w:rPr>
          <w:iCs/>
        </w:rPr>
        <w:t>calls for ensuring that the Regulation does not affect Union and national individual and collective labour law;</w:t>
      </w:r>
    </w:p>
    <w:p w:rsidR="00A81B47" w:rsidP="00C1355C" w:rsidRDefault="00A81B47" w14:paraId="232DCFC8" w14:textId="77777777"/>
    <w:p w:rsidR="00A81B47" w:rsidP="00C1355C" w:rsidRDefault="005106FD" w14:paraId="5FE72945" w14:textId="1824C4C1">
      <w:pPr>
        <w:pStyle w:val="ListParagraph"/>
        <w:numPr>
          <w:ilvl w:val="0"/>
          <w:numId w:val="11"/>
        </w:numPr>
        <w:ind w:left="567" w:hanging="567"/>
      </w:pPr>
      <w:r>
        <w:t>calls on the Commission to develop a distinct European model rather than replicating the Delaware system, while ensuring respect for Member States’ legal traditions and effective safeguards against abuse, fraud, regulatory arbitrage and letterbox companies;</w:t>
      </w:r>
    </w:p>
    <w:p w:rsidR="00A81B47" w:rsidP="00C1355C" w:rsidRDefault="00A81B47" w14:paraId="2D9BDAA8" w14:textId="77777777"/>
    <w:p w:rsidR="00A81B47" w:rsidP="00C1355C" w:rsidRDefault="005106FD" w14:paraId="2E7D1495" w14:textId="092D1C1C">
      <w:pPr>
        <w:pStyle w:val="ListParagraph"/>
        <w:numPr>
          <w:ilvl w:val="0"/>
          <w:numId w:val="11"/>
        </w:numPr>
        <w:ind w:left="567" w:hanging="567"/>
      </w:pPr>
      <w:r>
        <w:t>recommends clarifying the role of business registers and the division of responsibilities between EU and national levels in order to preserve effective oversight and preventive controls;</w:t>
      </w:r>
    </w:p>
    <w:p w:rsidR="00A81B47" w:rsidP="00C1355C" w:rsidRDefault="00A81B47" w14:paraId="1062880D" w14:textId="77777777"/>
    <w:p w:rsidR="00A81B47" w:rsidP="00C1355C" w:rsidRDefault="005106FD" w14:paraId="1056A93E" w14:textId="45286728">
      <w:pPr>
        <w:pStyle w:val="ListParagraph"/>
        <w:numPr>
          <w:ilvl w:val="0"/>
          <w:numId w:val="11"/>
        </w:numPr>
        <w:ind w:left="567" w:hanging="567"/>
      </w:pPr>
      <w:r>
        <w:t>expresses concern that implementation costs of EU Inc. for public authorities may be underestimated, particularly regarding IT systems, interoperability, staff training and digital adaptation;</w:t>
      </w:r>
    </w:p>
    <w:p w:rsidR="00A81B47" w:rsidP="00C1355C" w:rsidRDefault="00A81B47" w14:paraId="0412694D" w14:textId="77777777"/>
    <w:p w:rsidR="00A81B47" w:rsidP="00C1355C" w:rsidRDefault="005106FD" w14:paraId="353A5CC0" w14:textId="779FC8A1">
      <w:pPr>
        <w:pStyle w:val="ListParagraph"/>
        <w:numPr>
          <w:ilvl w:val="0"/>
          <w:numId w:val="11"/>
        </w:numPr>
        <w:ind w:left="567" w:hanging="567"/>
      </w:pPr>
      <w:r>
        <w:rPr>
          <w:iCs/>
        </w:rPr>
        <w:t>It is important that the proposed corporate form does not make it more difficult for municipalities and regions to verify bidders during public procurement procedures and to monitor suppliers. There is a risk that unscrupulous actors will exploit loopholes in the new regulatory framework, and that it may take time for the EU to close those loopholes</w:t>
      </w:r>
      <w:r>
        <w:t>;</w:t>
      </w:r>
    </w:p>
    <w:p w:rsidR="00A81B47" w:rsidP="00C1355C" w:rsidRDefault="00A81B47" w14:paraId="2E8FAA71" w14:textId="77777777"/>
    <w:p w:rsidR="00A81B47" w:rsidP="00C1355C" w:rsidRDefault="005106FD" w14:paraId="6005A53F" w14:textId="19D39E7D">
      <w:pPr>
        <w:pStyle w:val="ListParagraph"/>
        <w:numPr>
          <w:ilvl w:val="0"/>
          <w:numId w:val="11"/>
        </w:numPr>
        <w:ind w:left="567" w:hanging="567"/>
      </w:pPr>
      <w:r>
        <w:rPr>
          <w:iCs/>
        </w:rPr>
        <w:t xml:space="preserve">calls for a digital transition framework supporting local and regional administrations in achieving interoperability, automating compliance procedures and integrating digital notarial workflows, while ensuring data quality, identity verification and legal certainty; </w:t>
      </w:r>
      <w:r>
        <w:t>stresses the need to ensure interoperability between the EU central interface, the Single Digital Gateway and relevant national, regional and local authorities, in line with the “once-only” principle, so as to facilitate access to the administrative procedures required for the effective commencement of business activities;</w:t>
      </w:r>
    </w:p>
    <w:p w:rsidR="00A81B47" w:rsidP="00C1355C" w:rsidRDefault="00A81B47" w14:paraId="6E2C2155" w14:textId="77777777">
      <w:pPr>
        <w:pStyle w:val="ListParagraph"/>
        <w:ind w:left="0"/>
      </w:pPr>
    </w:p>
    <w:p w:rsidR="00A81B47" w:rsidP="00C1355C" w:rsidRDefault="005106FD" w14:paraId="4A1C3FDF" w14:textId="10111096">
      <w:pPr>
        <w:pStyle w:val="ListParagraph"/>
        <w:numPr>
          <w:ilvl w:val="0"/>
          <w:numId w:val="11"/>
        </w:numPr>
        <w:ind w:left="567" w:hanging="567"/>
      </w:pPr>
      <w:r>
        <w:t>welcomes the objective of harmonising and accelerating insolvency procedures for EU Inc. innovative startups; stresses, however, that any simplification must not undermine the protection of creditors, including employees, legal certainty or the overall coherence of insolvency frameworks, and should remain fully consistent with the principles and objectives of Directive (EU) 2026/799 harmonising certain aspects of insolvency law; calls, therefore, for safeguards ensuring legal certainty and even enforcement across the EU, and for excluding the insolvency procedures from the scope of the EU Inc. proposal should they lead to overlaps and legal uncertainty;</w:t>
      </w:r>
    </w:p>
    <w:p w:rsidR="00A81B47" w:rsidP="00C1355C" w:rsidRDefault="00A81B47" w14:paraId="18C7EA77" w14:textId="77777777"/>
    <w:p w:rsidR="00A81B47" w:rsidP="00C1355C" w:rsidRDefault="005106FD" w14:paraId="2E3D03FD" w14:textId="17AAB169">
      <w:pPr>
        <w:pStyle w:val="ListParagraph"/>
        <w:numPr>
          <w:ilvl w:val="0"/>
          <w:numId w:val="11"/>
        </w:numPr>
        <w:ind w:left="567" w:hanging="567"/>
      </w:pPr>
      <w:r>
        <w:rPr>
          <w:iCs/>
        </w:rPr>
        <w:t>regrets the lack of optional forms of steward ownership under the EU Inc framework which could prevent hostile takeovers, embed purpose into ownership, and root companies in regional ecosystems, contributing to long-term competitiveness and societal value in the EU;</w:t>
      </w:r>
    </w:p>
    <w:p w:rsidR="00A81B47" w:rsidP="00C1355C" w:rsidRDefault="00A81B47" w14:paraId="034168B2" w14:textId="77777777"/>
    <w:p w:rsidR="00A81B47" w:rsidP="00C1355C" w:rsidRDefault="005106FD" w14:paraId="25DE5A93" w14:textId="339D2868">
      <w:pPr>
        <w:keepNext/>
      </w:pPr>
      <w:r>
        <w:t>Enabling regions and cities to use EU Inc. to strengthen innovation ecosystems</w:t>
      </w:r>
    </w:p>
    <w:p w:rsidR="00A81B47" w:rsidP="00C1355C" w:rsidRDefault="00A81B47" w14:paraId="05B86D10" w14:textId="77777777">
      <w:pPr>
        <w:keepNext/>
      </w:pPr>
    </w:p>
    <w:p w:rsidR="00A81B47" w:rsidP="00C1355C" w:rsidRDefault="005106FD" w14:paraId="5F2C3A02" w14:textId="78357C89">
      <w:pPr>
        <w:pStyle w:val="ListParagraph"/>
        <w:numPr>
          <w:ilvl w:val="0"/>
          <w:numId w:val="11"/>
        </w:numPr>
        <w:ind w:left="567" w:hanging="567"/>
      </w:pPr>
      <w:r>
        <w:t>believes that a well-designed 28th-regime framework can transform regional diversity into a strategic advantage by strengthening ecosystem-based innovation networks and supporting the objectives of the forthcoming Right to Stay Strategy;</w:t>
      </w:r>
      <w:r>
        <w:rPr>
          <w:iCs/>
          <w:szCs w:val="22"/>
        </w:rPr>
        <w:t xml:space="preserve"> </w:t>
      </w:r>
      <w:r>
        <w:rPr>
          <w:iCs/>
        </w:rPr>
        <w:t>calls in this context for supportive measures to foster partnerships between EU Inc. companies and universities, research institutes and technology transfer offices. This would also contribute to matching innovative companies with skilled employees;</w:t>
      </w:r>
    </w:p>
    <w:p w:rsidR="00A81B47" w:rsidP="00C1355C" w:rsidRDefault="00A81B47" w14:paraId="6DAAB149" w14:textId="77777777"/>
    <w:p w:rsidR="00A81B47" w:rsidP="00C1355C" w:rsidRDefault="005106FD" w14:paraId="478DCE73" w14:textId="72A583E2">
      <w:pPr>
        <w:pStyle w:val="ListParagraph"/>
        <w:numPr>
          <w:ilvl w:val="0"/>
          <w:numId w:val="11"/>
        </w:numPr>
        <w:ind w:left="567" w:hanging="567"/>
      </w:pPr>
      <w:r>
        <w:rPr>
          <w:iCs/>
        </w:rPr>
        <w:t>regrets that the Commission’s impact assessment did not adequately evaluate the potential asymmetric territorial effects of the proposal and notes that benefits may be unevenly distributed across EU regions;</w:t>
      </w:r>
    </w:p>
    <w:p w:rsidR="00A81B47" w:rsidP="00C1355C" w:rsidRDefault="00A81B47" w14:paraId="2DD76760" w14:textId="77777777"/>
    <w:p w:rsidR="00A81B47" w:rsidP="00C1355C" w:rsidRDefault="005106FD" w14:paraId="56EEB5B7" w14:textId="28874BA2">
      <w:pPr>
        <w:pStyle w:val="ListParagraph"/>
        <w:numPr>
          <w:ilvl w:val="0"/>
          <w:numId w:val="11"/>
        </w:numPr>
        <w:ind w:left="567" w:hanging="567"/>
      </w:pPr>
      <w:r>
        <w:t xml:space="preserve">welcomes the standardised EU employee stock option scheme, but stresses that it must not replace or diminish renumeration </w:t>
      </w:r>
      <w:r>
        <w:rPr>
          <w:iCs/>
        </w:rPr>
        <w:t>giving access to social, health and pensions rights. Participation in such schemes should go hand in hand with social inclusion, be non-discriminatory and open and accompanied by mechanisms to safeguard employees against unreasonable financial risk</w:t>
      </w:r>
      <w:r>
        <w:t>; highlights also that, in the absence of tax harmonisation, it could intensify talent concentration in major metropolitan hubs; calls on the Commission to monitor territorial impacts and preserve the ability of regions to use local incentives to retain talent;</w:t>
      </w:r>
    </w:p>
    <w:p w:rsidR="00A81B47" w:rsidP="00C1355C" w:rsidRDefault="00A81B47" w14:paraId="4B2EC1A6" w14:textId="77777777"/>
    <w:p w:rsidR="00A81B47" w:rsidP="00C1355C" w:rsidRDefault="005106FD" w14:paraId="67170746" w14:textId="4EC6C7C1">
      <w:pPr>
        <w:pStyle w:val="ListParagraph"/>
        <w:numPr>
          <w:ilvl w:val="0"/>
          <w:numId w:val="11"/>
        </w:numPr>
        <w:ind w:left="567" w:hanging="567"/>
      </w:pPr>
      <w:r>
        <w:rPr>
          <w:iCs/>
        </w:rPr>
        <w:t>invites local and regional authorities to prepare for the opportunities offered by EU Inc. through dedicated support services, peer-learning initiatives, investor education, cooperation with incubators, accelerators and venture capital actors, and stronger links with national startup policies;</w:t>
      </w:r>
    </w:p>
    <w:p w:rsidR="00A81B47" w:rsidP="00C1355C" w:rsidRDefault="00A81B47" w14:paraId="11CFD1E3" w14:textId="77777777"/>
    <w:p w:rsidR="00A81B47" w:rsidP="00C1355C" w:rsidRDefault="005106FD" w14:paraId="24B3521B" w14:textId="6C650E7B">
      <w:pPr>
        <w:pStyle w:val="ListParagraph"/>
        <w:numPr>
          <w:ilvl w:val="0"/>
          <w:numId w:val="11"/>
        </w:numPr>
        <w:ind w:left="567" w:hanging="567"/>
      </w:pPr>
      <w:r>
        <w:rPr>
          <w:iCs/>
        </w:rPr>
        <w:t>welcomes the Commission’s initiative to establish common EU definitions of startups and scaleups, considering them essential for a coordinated and long-term approach to supporting innovative and fast-growing companies; calls, however, for greater precision and detail in the definition of eligibility criteria and requirements, in order to ensure legal certainty, consistent application across Member States and an effective targeting of support measures</w:t>
      </w:r>
      <w:r>
        <w:t>.</w:t>
      </w:r>
    </w:p>
    <w:p w:rsidR="00A81B47" w:rsidP="00C1355C" w:rsidRDefault="00A81B47" w14:paraId="0D4E4F5B" w14:textId="77777777"/>
    <w:p w:rsidR="00A81B47" w:rsidP="00C1355C" w:rsidRDefault="005106FD" w14:paraId="104713F4" w14:textId="7BE9870E">
      <w:pPr>
        <w:textAlignment w:val="auto"/>
      </w:pPr>
      <w:r>
        <w:t>Brussels, 2 July 2026.</w:t>
      </w:r>
    </w:p>
    <w:p w:rsidR="00A81B47" w:rsidP="00C1355C" w:rsidRDefault="00A81B47" w14:paraId="4B566BBD" w14:textId="77777777">
      <w:pPr>
        <w:textAlignment w:val="auto"/>
      </w:pPr>
    </w:p>
    <w:tbl>
      <w:tblPr>
        <w:tblW w:w="0" w:type="auto"/>
        <w:tblLayout w:type="fixed"/>
        <w:tblLook w:val="04A0" w:firstRow="1" w:lastRow="0" w:firstColumn="1" w:lastColumn="0" w:noHBand="0" w:noVBand="1"/>
      </w:tblPr>
      <w:tblGrid>
        <w:gridCol w:w="4644"/>
        <w:gridCol w:w="4645"/>
      </w:tblGrid>
      <w:tr w:rsidR="00A81B47" w14:paraId="798DE021" w14:textId="77777777">
        <w:tc>
          <w:tcPr>
            <w:tcW w:w="4644" w:type="dxa"/>
          </w:tcPr>
          <w:p w:rsidR="00A81B47" w:rsidP="00C1355C" w:rsidRDefault="005106FD" w14:paraId="4D6FFCAA" w14:textId="77777777">
            <w:pPr>
              <w:jc w:val="center"/>
              <w:textAlignment w:val="auto"/>
            </w:pPr>
            <w:r>
              <w:rPr>
                <w:i/>
                <w:iCs/>
              </w:rPr>
              <w:t>The President</w:t>
            </w:r>
            <w:r>
              <w:br/>
            </w:r>
            <w:r>
              <w:rPr>
                <w:i/>
                <w:iCs/>
              </w:rPr>
              <w:t>of the European Committee of the Regions</w:t>
            </w:r>
          </w:p>
          <w:p w:rsidR="00A81B47" w:rsidP="00C1355C" w:rsidRDefault="00A81B47" w14:paraId="5C3CD8C7" w14:textId="77777777">
            <w:pPr>
              <w:textAlignment w:val="auto"/>
              <w:rPr>
                <w:i/>
                <w:iCs/>
              </w:rPr>
            </w:pPr>
          </w:p>
          <w:p w:rsidR="00A81B47" w:rsidP="00C1355C" w:rsidRDefault="00A81B47" w14:paraId="25552E06" w14:textId="77777777">
            <w:pPr>
              <w:textAlignment w:val="auto"/>
              <w:rPr>
                <w:i/>
                <w:iCs/>
              </w:rPr>
            </w:pPr>
          </w:p>
          <w:p w:rsidR="00A81B47" w:rsidP="00C1355C" w:rsidRDefault="00A81B47" w14:paraId="4FD36CF4" w14:textId="77777777">
            <w:pPr>
              <w:textAlignment w:val="auto"/>
              <w:rPr>
                <w:i/>
                <w:iCs/>
              </w:rPr>
            </w:pPr>
          </w:p>
          <w:p w:rsidR="00A81B47" w:rsidP="00C1355C" w:rsidRDefault="00A81B47" w14:paraId="7D079F22" w14:textId="77777777">
            <w:pPr>
              <w:textAlignment w:val="auto"/>
              <w:rPr>
                <w:i/>
                <w:iCs/>
              </w:rPr>
            </w:pPr>
          </w:p>
          <w:p w:rsidR="00A81B47" w:rsidP="00C1355C" w:rsidRDefault="005106FD" w14:paraId="2870DB08" w14:textId="77777777">
            <w:pPr>
              <w:jc w:val="center"/>
              <w:textAlignment w:val="auto"/>
            </w:pPr>
            <w:r>
              <w:t>Kata TÜTTŐ</w:t>
            </w:r>
          </w:p>
        </w:tc>
        <w:tc>
          <w:tcPr>
            <w:tcW w:w="4645" w:type="dxa"/>
          </w:tcPr>
          <w:p w:rsidR="00A81B47" w:rsidP="00C1355C" w:rsidRDefault="00A81B47" w14:paraId="0C8F892B" w14:textId="77777777">
            <w:pPr>
              <w:textAlignment w:val="auto"/>
            </w:pPr>
          </w:p>
        </w:tc>
      </w:tr>
      <w:tr w:rsidR="00A81B47" w14:paraId="5DA48335" w14:textId="77777777">
        <w:tc>
          <w:tcPr>
            <w:tcW w:w="4644" w:type="dxa"/>
          </w:tcPr>
          <w:p w:rsidR="00A81B47" w:rsidP="00C1355C" w:rsidRDefault="00A81B47" w14:paraId="52DC43F4" w14:textId="77777777">
            <w:pPr>
              <w:textAlignment w:val="auto"/>
            </w:pPr>
          </w:p>
        </w:tc>
        <w:tc>
          <w:tcPr>
            <w:tcW w:w="4645" w:type="dxa"/>
          </w:tcPr>
          <w:p w:rsidR="00A81B47" w:rsidP="00C1355C" w:rsidRDefault="005106FD" w14:paraId="6727CC1E" w14:textId="77777777">
            <w:pPr>
              <w:jc w:val="center"/>
              <w:textAlignment w:val="auto"/>
            </w:pPr>
            <w:r>
              <w:rPr>
                <w:i/>
                <w:iCs/>
              </w:rPr>
              <w:t>The Secretary-General</w:t>
            </w:r>
            <w:r>
              <w:br/>
            </w:r>
            <w:r>
              <w:rPr>
                <w:i/>
                <w:iCs/>
              </w:rPr>
              <w:t>of the European Committee of the Regions</w:t>
            </w:r>
          </w:p>
          <w:p w:rsidR="00A81B47" w:rsidP="00C1355C" w:rsidRDefault="00A81B47" w14:paraId="7CCE8AFD" w14:textId="77777777">
            <w:pPr>
              <w:textAlignment w:val="auto"/>
              <w:rPr>
                <w:i/>
                <w:iCs/>
              </w:rPr>
            </w:pPr>
          </w:p>
          <w:p w:rsidR="00A81B47" w:rsidP="00C1355C" w:rsidRDefault="00A81B47" w14:paraId="1AB701ED" w14:textId="77777777">
            <w:pPr>
              <w:textAlignment w:val="auto"/>
              <w:rPr>
                <w:i/>
                <w:iCs/>
              </w:rPr>
            </w:pPr>
          </w:p>
          <w:p w:rsidR="00A81B47" w:rsidP="00C1355C" w:rsidRDefault="00A81B47" w14:paraId="79D197DE" w14:textId="77777777">
            <w:pPr>
              <w:textAlignment w:val="auto"/>
              <w:rPr>
                <w:i/>
                <w:iCs/>
              </w:rPr>
            </w:pPr>
          </w:p>
          <w:p w:rsidR="00A81B47" w:rsidP="00C1355C" w:rsidRDefault="00A81B47" w14:paraId="78BC1761" w14:textId="77777777">
            <w:pPr>
              <w:textAlignment w:val="auto"/>
              <w:rPr>
                <w:i/>
                <w:iCs/>
              </w:rPr>
            </w:pPr>
          </w:p>
          <w:p w:rsidR="00A81B47" w:rsidP="00C1355C" w:rsidRDefault="005106FD" w14:paraId="62D9EEA1" w14:textId="77777777">
            <w:pPr>
              <w:jc w:val="center"/>
              <w:textAlignment w:val="auto"/>
            </w:pPr>
            <w:r>
              <w:t>Petr BLÍŽKOVSKÝ</w:t>
            </w:r>
          </w:p>
        </w:tc>
      </w:tr>
    </w:tbl>
    <w:p w:rsidR="00A81B47" w:rsidP="00C1355C" w:rsidRDefault="00A81B47" w14:paraId="056965CE" w14:textId="77777777">
      <w:pPr>
        <w:textAlignment w:val="auto"/>
      </w:pPr>
    </w:p>
    <w:p w:rsidR="00A81B47" w:rsidP="00C1355C" w:rsidRDefault="00A81B47" w14:paraId="11D52C78" w14:textId="77777777"/>
    <w:p w:rsidR="00A81B47" w:rsidP="00C1355C" w:rsidRDefault="005106FD" w14:paraId="3A17AD3E" w14:textId="77777777">
      <w:pPr>
        <w:numPr>
          <w:ilvl w:val="0"/>
          <w:numId w:val="21"/>
        </w:numPr>
        <w:ind w:left="567" w:hanging="567"/>
        <w:rPr>
          <w:b/>
          <w:bCs/>
        </w:rPr>
      </w:pPr>
      <w:r>
        <w:br w:type="page"/>
      </w:r>
      <w:r>
        <w:rPr>
          <w:b/>
          <w:bCs/>
        </w:rPr>
        <w:t>PROCEDURE</w:t>
      </w:r>
    </w:p>
    <w:p w:rsidR="00A81B47" w:rsidP="00C1355C" w:rsidRDefault="00A81B47" w14:paraId="395DFF76"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00A81B47" w14:paraId="694FA5D2" w14:textId="77777777">
        <w:tc>
          <w:tcPr>
            <w:tcW w:w="3848" w:type="dxa"/>
            <w:noWrap/>
          </w:tcPr>
          <w:p w:rsidR="00A81B47" w:rsidP="00C1355C" w:rsidRDefault="005106FD" w14:paraId="2AA3B309" w14:textId="044D5A57">
            <w:pPr>
              <w:jc w:val="left"/>
              <w:rPr>
                <w:b/>
                <w:bCs/>
              </w:rPr>
            </w:pPr>
            <w:r>
              <w:rPr>
                <w:b/>
                <w:bCs/>
              </w:rPr>
              <w:t>Title</w:t>
            </w:r>
          </w:p>
        </w:tc>
        <w:tc>
          <w:tcPr>
            <w:tcW w:w="5441" w:type="dxa"/>
            <w:noWrap/>
          </w:tcPr>
          <w:p w:rsidR="00A81B47" w:rsidP="00C1355C" w:rsidRDefault="005106FD" w14:paraId="46040C8E" w14:textId="20C88063">
            <w:r>
              <w:t>The 'EU INC' Corporate Legal Framework</w:t>
            </w:r>
          </w:p>
          <w:p w:rsidR="00A81B47" w:rsidP="00C1355C" w:rsidRDefault="00A81B47" w14:paraId="65181E4F" w14:textId="7AB0A80D"/>
        </w:tc>
      </w:tr>
      <w:tr w:rsidR="00A81B47" w14:paraId="3EE4E5A9" w14:textId="77777777">
        <w:tc>
          <w:tcPr>
            <w:tcW w:w="3848" w:type="dxa"/>
            <w:noWrap/>
          </w:tcPr>
          <w:p w:rsidR="00A81B47" w:rsidP="00C1355C" w:rsidRDefault="005106FD" w14:paraId="2F99636C" w14:textId="41B6174A">
            <w:pPr>
              <w:jc w:val="left"/>
              <w:rPr>
                <w:b/>
                <w:bCs/>
              </w:rPr>
            </w:pPr>
            <w:r>
              <w:rPr>
                <w:b/>
                <w:bCs/>
              </w:rPr>
              <w:t>References</w:t>
            </w:r>
          </w:p>
        </w:tc>
        <w:tc>
          <w:tcPr>
            <w:tcW w:w="5441" w:type="dxa"/>
            <w:noWrap/>
          </w:tcPr>
          <w:p w:rsidR="00A81B47" w:rsidP="00C1355C" w:rsidRDefault="005106FD" w14:paraId="6A089D53" w14:textId="77777777">
            <w:r>
              <w:t>Communication: Towards a 28th regime for EU companies (COM(2026) 320)</w:t>
            </w:r>
          </w:p>
          <w:p w:rsidR="00A81B47" w:rsidP="00C1355C" w:rsidRDefault="005106FD" w14:paraId="67887B4D" w14:textId="77777777">
            <w:r>
              <w:t>Proposal for a Regulation on the 28th regime corporate legal framework - 'EU INC' (COM(2026) 321)</w:t>
            </w:r>
          </w:p>
          <w:p w:rsidR="00A81B47" w:rsidP="00C1355C" w:rsidRDefault="005106FD" w14:paraId="2A8802EC" w14:textId="3431A550">
            <w:r>
              <w:t>Commission Recommendation on the definition of innovative enterprises, innovative startups and innovative scaleups (C(2026) 1800)</w:t>
            </w:r>
          </w:p>
        </w:tc>
      </w:tr>
      <w:tr w:rsidR="00A81B47" w14:paraId="6123FB61" w14:textId="77777777">
        <w:tc>
          <w:tcPr>
            <w:tcW w:w="3848" w:type="dxa"/>
            <w:noWrap/>
          </w:tcPr>
          <w:p w:rsidR="00A81B47" w:rsidP="00C1355C" w:rsidRDefault="005106FD" w14:paraId="6E4B5AA2" w14:textId="77777777">
            <w:pPr>
              <w:jc w:val="left"/>
              <w:rPr>
                <w:b/>
                <w:bCs/>
              </w:rPr>
            </w:pPr>
            <w:r>
              <w:rPr>
                <w:b/>
                <w:bCs/>
              </w:rPr>
              <w:t>Legal basis</w:t>
            </w:r>
          </w:p>
        </w:tc>
        <w:tc>
          <w:tcPr>
            <w:tcW w:w="5441" w:type="dxa"/>
            <w:noWrap/>
          </w:tcPr>
          <w:p w:rsidR="00A81B47" w:rsidP="00C1355C" w:rsidRDefault="005106FD" w14:paraId="5BE0FBAD" w14:textId="3A32540F">
            <w:r>
              <w:t>Art. 307(4) TFEU</w:t>
            </w:r>
          </w:p>
        </w:tc>
      </w:tr>
      <w:tr w:rsidR="00A81B47" w14:paraId="6C49A36D" w14:textId="77777777">
        <w:tc>
          <w:tcPr>
            <w:tcW w:w="3848" w:type="dxa"/>
            <w:noWrap/>
          </w:tcPr>
          <w:p w:rsidR="00A81B47" w:rsidP="00C1355C" w:rsidRDefault="005106FD" w14:paraId="3C6FA8C8" w14:textId="77777777">
            <w:pPr>
              <w:jc w:val="left"/>
              <w:rPr>
                <w:b/>
                <w:bCs/>
              </w:rPr>
            </w:pPr>
            <w:r>
              <w:rPr>
                <w:b/>
                <w:bCs/>
              </w:rPr>
              <w:t>Procedural basis</w:t>
            </w:r>
          </w:p>
        </w:tc>
        <w:tc>
          <w:tcPr>
            <w:tcW w:w="5441" w:type="dxa"/>
            <w:noWrap/>
          </w:tcPr>
          <w:p w:rsidR="00A81B47" w:rsidP="00C1355C" w:rsidRDefault="005106FD" w14:paraId="22AAD3C1" w14:textId="3AA959D9">
            <w:pPr>
              <w:rPr>
                <w:szCs w:val="22"/>
              </w:rPr>
            </w:pPr>
            <w:r>
              <w:rPr>
                <w:szCs w:val="22"/>
              </w:rPr>
              <w:t>Rule 41, b) (i)</w:t>
            </w:r>
          </w:p>
          <w:p w:rsidR="00A81B47" w:rsidP="00C1355C" w:rsidRDefault="005106FD" w14:paraId="0E8A5774" w14:textId="77777777">
            <w:r>
              <w:rPr>
                <w:szCs w:val="22"/>
              </w:rPr>
              <w:t>Rule 44</w:t>
            </w:r>
          </w:p>
        </w:tc>
      </w:tr>
      <w:tr w:rsidRPr="00C1355C" w:rsidR="00A81B47" w14:paraId="3B61BABE" w14:textId="77777777">
        <w:tc>
          <w:tcPr>
            <w:tcW w:w="3848" w:type="dxa"/>
          </w:tcPr>
          <w:p w:rsidR="00A81B47" w:rsidP="00C1355C" w:rsidRDefault="005106FD" w14:paraId="600F85D4" w14:textId="77777777">
            <w:pPr>
              <w:jc w:val="left"/>
            </w:pPr>
            <w:r>
              <w:rPr>
                <w:b/>
                <w:bCs/>
              </w:rPr>
              <w:t>Date of Council/EP referral/Date of Commission letter</w:t>
            </w:r>
          </w:p>
        </w:tc>
        <w:tc>
          <w:tcPr>
            <w:tcW w:w="5441" w:type="dxa"/>
            <w:noWrap/>
          </w:tcPr>
          <w:p w:rsidR="00A81B47" w:rsidP="00C1355C" w:rsidRDefault="005106FD" w14:paraId="0B0DE6E6" w14:textId="48EF2663">
            <w:pPr>
              <w:rPr>
                <w:color w:val="000000"/>
                <w:lang w:val="pt-PT"/>
              </w:rPr>
            </w:pPr>
            <w:r>
              <w:rPr>
                <w:color w:val="000000"/>
                <w:lang w:val="pt-PT"/>
              </w:rPr>
              <w:t>COM(2026) 320: EC (18/03/26)</w:t>
            </w:r>
          </w:p>
          <w:p w:rsidR="00A81B47" w:rsidP="00C1355C" w:rsidRDefault="005106FD" w14:paraId="4E8E1252" w14:textId="3C4F21C9">
            <w:pPr>
              <w:rPr>
                <w:lang w:val="pt-PT"/>
              </w:rPr>
            </w:pPr>
            <w:r>
              <w:rPr>
                <w:color w:val="000000" w:themeColor="text1"/>
                <w:lang w:val="pt-PT"/>
              </w:rPr>
              <w:t xml:space="preserve">COM(2026) 321: EP (25/03/26), EC </w:t>
            </w:r>
            <w:r>
              <w:rPr>
                <w:color w:val="000000"/>
                <w:lang w:val="pt-PT"/>
              </w:rPr>
              <w:t>(18/03/26)</w:t>
            </w:r>
          </w:p>
        </w:tc>
      </w:tr>
      <w:tr w:rsidR="00A81B47" w14:paraId="37993B3B" w14:textId="77777777">
        <w:tc>
          <w:tcPr>
            <w:tcW w:w="3848" w:type="dxa"/>
          </w:tcPr>
          <w:p w:rsidR="00A81B47" w:rsidP="00C1355C" w:rsidRDefault="005106FD" w14:paraId="2F45D488" w14:textId="77777777">
            <w:pPr>
              <w:jc w:val="left"/>
            </w:pPr>
            <w:r>
              <w:rPr>
                <w:b/>
                <w:bCs/>
              </w:rPr>
              <w:t>Date of Bureau/President’s decision</w:t>
            </w:r>
          </w:p>
        </w:tc>
        <w:tc>
          <w:tcPr>
            <w:tcW w:w="5441" w:type="dxa"/>
            <w:noWrap/>
          </w:tcPr>
          <w:p w:rsidR="00A81B47" w:rsidP="00C1355C" w:rsidRDefault="005106FD" w14:paraId="24F72027" w14:textId="42CFF09D">
            <w:r>
              <w:t xml:space="preserve">30 June 2026 </w:t>
            </w:r>
          </w:p>
        </w:tc>
      </w:tr>
      <w:tr w:rsidR="00A81B47" w14:paraId="794427FF" w14:textId="77777777">
        <w:tc>
          <w:tcPr>
            <w:tcW w:w="3848" w:type="dxa"/>
            <w:noWrap/>
          </w:tcPr>
          <w:p w:rsidR="00A81B47" w:rsidP="00C1355C" w:rsidRDefault="005106FD" w14:paraId="0C820FB8" w14:textId="77777777">
            <w:pPr>
              <w:jc w:val="left"/>
              <w:rPr>
                <w:b/>
                <w:bCs/>
              </w:rPr>
            </w:pPr>
            <w:r>
              <w:rPr>
                <w:b/>
                <w:bCs/>
              </w:rPr>
              <w:t>Commission responsible</w:t>
            </w:r>
          </w:p>
        </w:tc>
        <w:tc>
          <w:tcPr>
            <w:tcW w:w="5441" w:type="dxa"/>
            <w:noWrap/>
          </w:tcPr>
          <w:p w:rsidR="00A81B47" w:rsidP="00C1355C" w:rsidRDefault="005106FD" w14:paraId="74A1ABAE" w14:textId="77777777">
            <w:r>
              <w:t>Commission for Economic policy (ECON)</w:t>
            </w:r>
          </w:p>
        </w:tc>
      </w:tr>
      <w:tr w:rsidR="00A81B47" w14:paraId="36D65B5C" w14:textId="77777777">
        <w:tc>
          <w:tcPr>
            <w:tcW w:w="3848" w:type="dxa"/>
            <w:noWrap/>
          </w:tcPr>
          <w:p w:rsidR="00A81B47" w:rsidP="00C1355C" w:rsidRDefault="005106FD" w14:paraId="46BF5028" w14:textId="77777777">
            <w:pPr>
              <w:jc w:val="left"/>
              <w:rPr>
                <w:b/>
                <w:bCs/>
              </w:rPr>
            </w:pPr>
            <w:r>
              <w:rPr>
                <w:b/>
                <w:bCs/>
              </w:rPr>
              <w:t>Rapporteur</w:t>
            </w:r>
          </w:p>
        </w:tc>
        <w:tc>
          <w:tcPr>
            <w:tcW w:w="5441" w:type="dxa"/>
            <w:noWrap/>
          </w:tcPr>
          <w:p w:rsidR="00A81B47" w:rsidP="00C1355C" w:rsidRDefault="005106FD" w14:paraId="3472E560" w14:textId="5A46F454">
            <w:r>
              <w:t>Roberta ANGELILLI (IT/ECR) </w:t>
            </w:r>
          </w:p>
        </w:tc>
      </w:tr>
      <w:tr w:rsidR="00A81B47" w14:paraId="47E0967F" w14:textId="77777777">
        <w:tc>
          <w:tcPr>
            <w:tcW w:w="3848" w:type="dxa"/>
            <w:noWrap/>
          </w:tcPr>
          <w:p w:rsidR="00A81B47" w:rsidP="00C1355C" w:rsidRDefault="005106FD" w14:paraId="587B96D6" w14:textId="77777777">
            <w:pPr>
              <w:jc w:val="left"/>
              <w:rPr>
                <w:b/>
                <w:bCs/>
              </w:rPr>
            </w:pPr>
            <w:r>
              <w:rPr>
                <w:b/>
                <w:bCs/>
              </w:rPr>
              <w:t>Discussed in commission</w:t>
            </w:r>
          </w:p>
        </w:tc>
        <w:tc>
          <w:tcPr>
            <w:tcW w:w="5441" w:type="dxa"/>
            <w:noWrap/>
          </w:tcPr>
          <w:p w:rsidR="00A81B47" w:rsidP="00C1355C" w:rsidRDefault="005106FD" w14:paraId="18567559" w14:textId="77777777">
            <w:r>
              <w:t>N/A</w:t>
            </w:r>
          </w:p>
        </w:tc>
      </w:tr>
      <w:tr w:rsidR="00A81B47" w14:paraId="491F8946" w14:textId="77777777">
        <w:tc>
          <w:tcPr>
            <w:tcW w:w="3848" w:type="dxa"/>
            <w:noWrap/>
          </w:tcPr>
          <w:p w:rsidR="00A81B47" w:rsidP="00C1355C" w:rsidRDefault="005106FD" w14:paraId="0DFA64B3" w14:textId="77777777">
            <w:pPr>
              <w:jc w:val="left"/>
              <w:rPr>
                <w:b/>
                <w:bCs/>
              </w:rPr>
            </w:pPr>
            <w:r>
              <w:rPr>
                <w:b/>
                <w:bCs/>
              </w:rPr>
              <w:t>Date adopted by commission</w:t>
            </w:r>
          </w:p>
        </w:tc>
        <w:tc>
          <w:tcPr>
            <w:tcW w:w="5441" w:type="dxa"/>
            <w:noWrap/>
          </w:tcPr>
          <w:p w:rsidR="00A81B47" w:rsidP="00C1355C" w:rsidRDefault="005106FD" w14:paraId="59F5E358" w14:textId="77777777">
            <w:r>
              <w:t>N/A</w:t>
            </w:r>
          </w:p>
        </w:tc>
      </w:tr>
      <w:tr w:rsidR="00A81B47" w14:paraId="563ED164" w14:textId="77777777">
        <w:tc>
          <w:tcPr>
            <w:tcW w:w="3848" w:type="dxa"/>
            <w:noWrap/>
          </w:tcPr>
          <w:p w:rsidR="00A81B47" w:rsidP="00C1355C" w:rsidRDefault="005106FD" w14:paraId="59E22842" w14:textId="77777777">
            <w:pPr>
              <w:jc w:val="left"/>
              <w:rPr>
                <w:b/>
                <w:bCs/>
              </w:rPr>
            </w:pPr>
            <w:r>
              <w:rPr>
                <w:b/>
                <w:bCs/>
              </w:rPr>
              <w:t>Result of the vote in commission</w:t>
            </w:r>
          </w:p>
          <w:p w:rsidR="00A81B47" w:rsidP="00C1355C" w:rsidRDefault="005106FD" w14:paraId="542F400C" w14:textId="77777777">
            <w:pPr>
              <w:jc w:val="left"/>
              <w:rPr>
                <w:b/>
                <w:bCs/>
              </w:rPr>
            </w:pPr>
            <w:r>
              <w:rPr>
                <w:b/>
                <w:bCs/>
              </w:rPr>
              <w:t>(majority, unanimity)</w:t>
            </w:r>
          </w:p>
        </w:tc>
        <w:tc>
          <w:tcPr>
            <w:tcW w:w="5441" w:type="dxa"/>
            <w:noWrap/>
          </w:tcPr>
          <w:p w:rsidR="00A81B47" w:rsidP="00C1355C" w:rsidRDefault="005106FD" w14:paraId="33B8DE8F" w14:textId="77777777">
            <w:r>
              <w:t>N/A</w:t>
            </w:r>
          </w:p>
        </w:tc>
      </w:tr>
      <w:tr w:rsidR="00A81B47" w14:paraId="42B0F3B2" w14:textId="77777777">
        <w:tc>
          <w:tcPr>
            <w:tcW w:w="3848" w:type="dxa"/>
            <w:noWrap/>
          </w:tcPr>
          <w:p w:rsidR="00A81B47" w:rsidP="00C1355C" w:rsidRDefault="005106FD" w14:paraId="42F3C112" w14:textId="77777777">
            <w:pPr>
              <w:jc w:val="left"/>
              <w:rPr>
                <w:b/>
                <w:bCs/>
              </w:rPr>
            </w:pPr>
            <w:r>
              <w:rPr>
                <w:b/>
                <w:bCs/>
              </w:rPr>
              <w:t>Date adopted in plenary</w:t>
            </w:r>
          </w:p>
        </w:tc>
        <w:tc>
          <w:tcPr>
            <w:tcW w:w="5441" w:type="dxa"/>
            <w:noWrap/>
          </w:tcPr>
          <w:p w:rsidR="00A81B47" w:rsidP="00C1355C" w:rsidRDefault="005106FD" w14:paraId="1C429DEB" w14:textId="29C6FAB4">
            <w:r>
              <w:t>2 July 2026</w:t>
            </w:r>
          </w:p>
        </w:tc>
      </w:tr>
      <w:tr w:rsidR="00A81B47" w14:paraId="7746031E" w14:textId="77777777">
        <w:tc>
          <w:tcPr>
            <w:tcW w:w="3848" w:type="dxa"/>
            <w:noWrap/>
          </w:tcPr>
          <w:p w:rsidR="00A81B47" w:rsidP="00C1355C" w:rsidRDefault="005106FD" w14:paraId="1981DDC4" w14:textId="77777777">
            <w:pPr>
              <w:jc w:val="left"/>
              <w:rPr>
                <w:b/>
                <w:bCs/>
              </w:rPr>
            </w:pPr>
            <w:r>
              <w:rPr>
                <w:b/>
                <w:bCs/>
              </w:rPr>
              <w:t>Previous Committee opinions</w:t>
            </w:r>
          </w:p>
        </w:tc>
        <w:tc>
          <w:tcPr>
            <w:tcW w:w="5441" w:type="dxa"/>
            <w:noWrap/>
          </w:tcPr>
          <w:p w:rsidR="00A81B47" w:rsidP="00C1355C" w:rsidRDefault="00A81B47" w14:paraId="0365E670" w14:textId="68836FEF"/>
        </w:tc>
      </w:tr>
      <w:tr w:rsidR="00A81B47" w14:paraId="0514CB5D" w14:textId="77777777">
        <w:tc>
          <w:tcPr>
            <w:tcW w:w="3848" w:type="dxa"/>
            <w:noWrap/>
          </w:tcPr>
          <w:p w:rsidR="00A81B47" w:rsidP="00C1355C" w:rsidRDefault="005106FD" w14:paraId="53F28B16" w14:textId="77777777">
            <w:pPr>
              <w:jc w:val="left"/>
              <w:rPr>
                <w:b/>
                <w:bCs/>
              </w:rPr>
            </w:pPr>
            <w:r>
              <w:rPr>
                <w:b/>
                <w:bCs/>
              </w:rPr>
              <w:t>Subsidiarity reference</w:t>
            </w:r>
          </w:p>
        </w:tc>
        <w:tc>
          <w:tcPr>
            <w:tcW w:w="5441" w:type="dxa"/>
            <w:noWrap/>
          </w:tcPr>
          <w:p w:rsidR="00A81B47" w:rsidP="00C1355C" w:rsidRDefault="005106FD" w14:paraId="5E242F3D" w14:textId="0D843FEC">
            <w:pPr>
              <w:rPr>
                <w:szCs w:val="22"/>
              </w:rPr>
            </w:pPr>
            <w:r>
              <w:rPr>
                <w:szCs w:val="22"/>
              </w:rPr>
              <w:t>Subsidiarity check: 26 June 2026</w:t>
            </w:r>
          </w:p>
          <w:p w:rsidR="00A81B47" w:rsidP="00C1355C" w:rsidRDefault="005106FD" w14:paraId="1ACEA821" w14:textId="5E5B2DEF">
            <w:r>
              <w:rPr>
                <w:szCs w:val="22"/>
              </w:rPr>
              <w:t>Subsidiarity compliance: 26 June 2026</w:t>
            </w:r>
          </w:p>
        </w:tc>
      </w:tr>
    </w:tbl>
    <w:p w:rsidR="00A81B47" w:rsidP="00C1355C" w:rsidRDefault="00A81B47" w14:paraId="59791CD9" w14:textId="77777777"/>
    <w:p w:rsidR="00A81B47" w:rsidP="00C1355C" w:rsidRDefault="005106FD" w14:paraId="1654A4D3" w14:textId="77777777">
      <w:pPr>
        <w:jc w:val="center"/>
      </w:pPr>
      <w:r>
        <w:t>_____________</w:t>
      </w:r>
    </w:p>
    <w:sectPr w:rsidR="00A81B47" w:rsidSect="00C1355C">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602" w:rsidRDefault="00F60602" w14:paraId="742D09AF" w14:textId="77777777">
      <w:r>
        <w:separator/>
      </w:r>
    </w:p>
  </w:endnote>
  <w:endnote w:type="continuationSeparator" w:id="0">
    <w:p w:rsidR="00F60602" w:rsidRDefault="00F60602" w14:paraId="772F5D7D" w14:textId="77777777">
      <w:r>
        <w:continuationSeparator/>
      </w:r>
    </w:p>
  </w:endnote>
  <w:endnote w:type="continuationNotice" w:id="1">
    <w:p w:rsidR="00F60602" w:rsidRDefault="00F60602" w14:paraId="1B7CBED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C1355C" w:rsidP="00C1355C" w:rsidRDefault="00C1355C" w14:paraId="1856EA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A81B47" w:rsidP="00C1355C" w:rsidRDefault="00C1355C" w14:paraId="0D1CEE4F" w14:textId="61242EFE">
    <w:pPr>
      <w:pStyle w:val="Footer"/>
    </w:pPr>
    <w:r>
      <w:t xml:space="preserve">COR-2026-01414-00-01-AC-TRA (EN) </w:t>
    </w:r>
    <w:r>
      <w:fldChar w:fldCharType="begin"/>
    </w:r>
    <w:r>
      <w:instrText xml:space="preserve"> PAGE  \* Arabic  \* MERGEFORMAT </w:instrText>
    </w:r>
    <w:r>
      <w:fldChar w:fldCharType="separate"/>
    </w:r>
    <w:r w:rsidR="006F2229">
      <w:rPr>
        <w:noProof/>
      </w:rPr>
      <w:t>1</w:t>
    </w:r>
    <w:r>
      <w:fldChar w:fldCharType="end"/>
    </w:r>
    <w:r>
      <w:t>/</w:t>
    </w:r>
    <w:r>
      <w:fldChar w:fldCharType="begin"/>
    </w:r>
    <w:r>
      <w:instrText xml:space="preserve"> NUMPAGES </w:instrText>
    </w:r>
    <w:r>
      <w:fldChar w:fldCharType="separate"/>
    </w:r>
    <w:r w:rsidR="006F222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C1355C" w:rsidP="00C1355C" w:rsidRDefault="00C1355C" w14:paraId="7E3DC0A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A81B47" w:rsidP="00C1355C" w:rsidRDefault="00A81B47" w14:paraId="4F777AD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A81B47" w:rsidP="00C1355C" w:rsidRDefault="00C1355C" w14:paraId="6E92127E" w14:textId="35F1BD8D">
    <w:pPr>
      <w:pStyle w:val="Footer"/>
    </w:pPr>
    <w:r>
      <w:t xml:space="preserve">COR-2026-01414-00-01-AC-TRA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A81B47" w:rsidP="00C1355C" w:rsidRDefault="00A81B47" w14:paraId="463BD4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602" w:rsidRDefault="00F60602" w14:paraId="37940F6E" w14:textId="77777777">
      <w:r>
        <w:separator/>
      </w:r>
    </w:p>
  </w:footnote>
  <w:footnote w:type="continuationSeparator" w:id="0">
    <w:p w:rsidR="00F60602" w:rsidRDefault="00F60602" w14:paraId="705A2DF2" w14:textId="77777777">
      <w:r>
        <w:continuationSeparator/>
      </w:r>
    </w:p>
  </w:footnote>
  <w:footnote w:type="continuationNotice" w:id="1">
    <w:p w:rsidR="00F60602" w:rsidRDefault="00F60602" w14:paraId="2990F42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C1355C" w:rsidP="00C1355C" w:rsidRDefault="00C1355C" w14:paraId="7785B2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C1355C" w:rsidP="00C1355C" w:rsidRDefault="00C1355C" w14:paraId="6BE81F86" w14:textId="7AF9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C1355C" w:rsidP="00C1355C" w:rsidRDefault="00C1355C" w14:paraId="47D5476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A81B47" w:rsidP="00C1355C" w:rsidRDefault="00A81B47" w14:paraId="7192717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A81B47" w:rsidP="00C1355C" w:rsidRDefault="00A81B47" w14:paraId="748C3206" w14:textId="532A61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1355C" w:rsidR="00A81B47" w:rsidP="00C1355C" w:rsidRDefault="00A81B47" w14:paraId="436FB2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3A24A6"/>
    <w:multiLevelType w:val="hybridMultilevel"/>
    <w:tmpl w:val="ED82156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E0F1A8A"/>
    <w:multiLevelType w:val="hybridMultilevel"/>
    <w:tmpl w:val="89AAD6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716D52"/>
    <w:multiLevelType w:val="hybridMultilevel"/>
    <w:tmpl w:val="0F688A02"/>
    <w:lvl w:ilvl="0" w:tplc="8DF0A342">
      <w:start w:val="1"/>
      <w:numFmt w:val="bullet"/>
      <w:lvlText w:val=""/>
      <w:lvlJc w:val="left"/>
      <w:pPr>
        <w:ind w:left="360" w:hanging="360"/>
      </w:pPr>
      <w:rPr>
        <w:rFonts w:ascii="Symbol" w:eastAsia="Symbol" w:hAnsi="Symbol" w:cs="Symbol"/>
      </w:rPr>
    </w:lvl>
    <w:lvl w:ilvl="1" w:tplc="BFE8B99C">
      <w:start w:val="1"/>
      <w:numFmt w:val="bullet"/>
      <w:lvlText w:val="o"/>
      <w:lvlJc w:val="left"/>
      <w:pPr>
        <w:ind w:left="1080" w:hanging="360"/>
      </w:pPr>
      <w:rPr>
        <w:rFonts w:ascii="Courier New" w:eastAsia="Courier New" w:hAnsi="Courier New" w:cs="Courier New"/>
      </w:rPr>
    </w:lvl>
    <w:lvl w:ilvl="2" w:tplc="142ACDC4">
      <w:start w:val="1"/>
      <w:numFmt w:val="bullet"/>
      <w:lvlText w:val=""/>
      <w:lvlJc w:val="left"/>
      <w:pPr>
        <w:ind w:left="1800" w:hanging="360"/>
      </w:pPr>
      <w:rPr>
        <w:rFonts w:ascii="Wingdings" w:eastAsia="Wingdings" w:hAnsi="Wingdings" w:cs="Wingdings"/>
      </w:rPr>
    </w:lvl>
    <w:lvl w:ilvl="3" w:tplc="7F8A5F0A">
      <w:start w:val="1"/>
      <w:numFmt w:val="bullet"/>
      <w:lvlText w:val=""/>
      <w:lvlJc w:val="left"/>
      <w:pPr>
        <w:ind w:left="2520" w:hanging="360"/>
      </w:pPr>
      <w:rPr>
        <w:rFonts w:ascii="Symbol" w:eastAsia="Symbol" w:hAnsi="Symbol" w:cs="Symbol"/>
      </w:rPr>
    </w:lvl>
    <w:lvl w:ilvl="4" w:tplc="80940CF0">
      <w:start w:val="1"/>
      <w:numFmt w:val="bullet"/>
      <w:lvlText w:val="o"/>
      <w:lvlJc w:val="left"/>
      <w:pPr>
        <w:ind w:left="3240" w:hanging="360"/>
      </w:pPr>
      <w:rPr>
        <w:rFonts w:ascii="Courier New" w:eastAsia="Courier New" w:hAnsi="Courier New" w:cs="Courier New"/>
      </w:rPr>
    </w:lvl>
    <w:lvl w:ilvl="5" w:tplc="8DF8CEE8">
      <w:start w:val="1"/>
      <w:numFmt w:val="bullet"/>
      <w:lvlText w:val=""/>
      <w:lvlJc w:val="left"/>
      <w:pPr>
        <w:ind w:left="3960" w:hanging="360"/>
      </w:pPr>
      <w:rPr>
        <w:rFonts w:ascii="Wingdings" w:eastAsia="Wingdings" w:hAnsi="Wingdings" w:cs="Wingdings"/>
      </w:rPr>
    </w:lvl>
    <w:lvl w:ilvl="6" w:tplc="1612FFC0">
      <w:start w:val="1"/>
      <w:numFmt w:val="bullet"/>
      <w:lvlText w:val=""/>
      <w:lvlJc w:val="left"/>
      <w:pPr>
        <w:ind w:left="4680" w:hanging="360"/>
      </w:pPr>
      <w:rPr>
        <w:rFonts w:ascii="Symbol" w:eastAsia="Symbol" w:hAnsi="Symbol" w:cs="Symbol"/>
      </w:rPr>
    </w:lvl>
    <w:lvl w:ilvl="7" w:tplc="022EEA3E">
      <w:start w:val="1"/>
      <w:numFmt w:val="bullet"/>
      <w:lvlText w:val="o"/>
      <w:lvlJc w:val="left"/>
      <w:pPr>
        <w:ind w:left="5400" w:hanging="360"/>
      </w:pPr>
      <w:rPr>
        <w:rFonts w:ascii="Courier New" w:eastAsia="Courier New" w:hAnsi="Courier New" w:cs="Courier New"/>
      </w:rPr>
    </w:lvl>
    <w:lvl w:ilvl="8" w:tplc="05248104">
      <w:start w:val="1"/>
      <w:numFmt w:val="bullet"/>
      <w:lvlText w:val=""/>
      <w:lvlJc w:val="left"/>
      <w:pPr>
        <w:ind w:left="6120" w:hanging="360"/>
      </w:pPr>
      <w:rPr>
        <w:rFonts w:ascii="Wingdings" w:eastAsia="Wingdings" w:hAnsi="Wingdings" w:cs="Wingdings"/>
      </w:rPr>
    </w:lvl>
  </w:abstractNum>
  <w:abstractNum w:abstractNumId="4" w15:restartNumberingAfterBreak="0">
    <w:nsid w:val="201D41FF"/>
    <w:multiLevelType w:val="hybridMultilevel"/>
    <w:tmpl w:val="F384A882"/>
    <w:lvl w:ilvl="0" w:tplc="90F0F02E">
      <w:start w:val="1"/>
      <w:numFmt w:val="bullet"/>
      <w:lvlText w:val=""/>
      <w:lvlJc w:val="left"/>
      <w:pPr>
        <w:ind w:left="720" w:hanging="360"/>
      </w:pPr>
      <w:rPr>
        <w:rFonts w:ascii="Symbol" w:eastAsia="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5F067"/>
    <w:multiLevelType w:val="hybridMultilevel"/>
    <w:tmpl w:val="B2A845D2"/>
    <w:lvl w:ilvl="0" w:tplc="E19248E4">
      <w:start w:val="1"/>
      <w:numFmt w:val="bullet"/>
      <w:lvlText w:val=""/>
      <w:lvlJc w:val="left"/>
      <w:pPr>
        <w:ind w:left="720" w:hanging="360"/>
      </w:pPr>
      <w:rPr>
        <w:rFonts w:ascii="Wingdings" w:hAnsi="Wingdings" w:hint="default"/>
      </w:rPr>
    </w:lvl>
    <w:lvl w:ilvl="1" w:tplc="CC961E76">
      <w:start w:val="1"/>
      <w:numFmt w:val="bullet"/>
      <w:lvlText w:val="o"/>
      <w:lvlJc w:val="left"/>
      <w:pPr>
        <w:ind w:left="1440" w:hanging="360"/>
      </w:pPr>
      <w:rPr>
        <w:rFonts w:ascii="Courier New" w:hAnsi="Courier New" w:hint="default"/>
      </w:rPr>
    </w:lvl>
    <w:lvl w:ilvl="2" w:tplc="E9C84DB6">
      <w:start w:val="1"/>
      <w:numFmt w:val="bullet"/>
      <w:lvlText w:val=""/>
      <w:lvlJc w:val="left"/>
      <w:pPr>
        <w:ind w:left="2160" w:hanging="360"/>
      </w:pPr>
      <w:rPr>
        <w:rFonts w:ascii="Wingdings" w:hAnsi="Wingdings" w:hint="default"/>
      </w:rPr>
    </w:lvl>
    <w:lvl w:ilvl="3" w:tplc="C54C82F0">
      <w:start w:val="1"/>
      <w:numFmt w:val="bullet"/>
      <w:lvlText w:val=""/>
      <w:lvlJc w:val="left"/>
      <w:pPr>
        <w:ind w:left="2880" w:hanging="360"/>
      </w:pPr>
      <w:rPr>
        <w:rFonts w:ascii="Symbol" w:hAnsi="Symbol" w:hint="default"/>
      </w:rPr>
    </w:lvl>
    <w:lvl w:ilvl="4" w:tplc="C18244B6">
      <w:start w:val="1"/>
      <w:numFmt w:val="bullet"/>
      <w:lvlText w:val="o"/>
      <w:lvlJc w:val="left"/>
      <w:pPr>
        <w:ind w:left="3600" w:hanging="360"/>
      </w:pPr>
      <w:rPr>
        <w:rFonts w:ascii="Courier New" w:hAnsi="Courier New" w:hint="default"/>
      </w:rPr>
    </w:lvl>
    <w:lvl w:ilvl="5" w:tplc="75B41D40">
      <w:start w:val="1"/>
      <w:numFmt w:val="bullet"/>
      <w:lvlText w:val=""/>
      <w:lvlJc w:val="left"/>
      <w:pPr>
        <w:ind w:left="4320" w:hanging="360"/>
      </w:pPr>
      <w:rPr>
        <w:rFonts w:ascii="Wingdings" w:hAnsi="Wingdings" w:hint="default"/>
      </w:rPr>
    </w:lvl>
    <w:lvl w:ilvl="6" w:tplc="894812D8">
      <w:start w:val="1"/>
      <w:numFmt w:val="bullet"/>
      <w:lvlText w:val=""/>
      <w:lvlJc w:val="left"/>
      <w:pPr>
        <w:ind w:left="5040" w:hanging="360"/>
      </w:pPr>
      <w:rPr>
        <w:rFonts w:ascii="Symbol" w:hAnsi="Symbol" w:hint="default"/>
      </w:rPr>
    </w:lvl>
    <w:lvl w:ilvl="7" w:tplc="39BA18BA">
      <w:start w:val="1"/>
      <w:numFmt w:val="bullet"/>
      <w:lvlText w:val="o"/>
      <w:lvlJc w:val="left"/>
      <w:pPr>
        <w:ind w:left="5760" w:hanging="360"/>
      </w:pPr>
      <w:rPr>
        <w:rFonts w:ascii="Courier New" w:hAnsi="Courier New" w:hint="default"/>
      </w:rPr>
    </w:lvl>
    <w:lvl w:ilvl="8" w:tplc="E47869DE">
      <w:start w:val="1"/>
      <w:numFmt w:val="bullet"/>
      <w:lvlText w:val=""/>
      <w:lvlJc w:val="left"/>
      <w:pPr>
        <w:ind w:left="6480" w:hanging="360"/>
      </w:pPr>
      <w:rPr>
        <w:rFonts w:ascii="Wingdings" w:hAnsi="Wingdings" w:hint="default"/>
      </w:rPr>
    </w:lvl>
  </w:abstractNum>
  <w:abstractNum w:abstractNumId="9"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4CA3D8"/>
    <w:multiLevelType w:val="hybridMultilevel"/>
    <w:tmpl w:val="1898C3FA"/>
    <w:lvl w:ilvl="0" w:tplc="02DAD7EA">
      <w:start w:val="1"/>
      <w:numFmt w:val="decimal"/>
      <w:lvlText w:val="%1."/>
      <w:lvlJc w:val="left"/>
      <w:pPr>
        <w:ind w:left="720" w:hanging="360"/>
      </w:pPr>
    </w:lvl>
    <w:lvl w:ilvl="1" w:tplc="DF0449DE">
      <w:start w:val="1"/>
      <w:numFmt w:val="lowerLetter"/>
      <w:lvlText w:val="%2."/>
      <w:lvlJc w:val="left"/>
      <w:pPr>
        <w:ind w:left="1440" w:hanging="360"/>
      </w:pPr>
    </w:lvl>
    <w:lvl w:ilvl="2" w:tplc="56E278C0">
      <w:start w:val="1"/>
      <w:numFmt w:val="lowerRoman"/>
      <w:lvlText w:val="%3."/>
      <w:lvlJc w:val="right"/>
      <w:pPr>
        <w:ind w:left="2160" w:hanging="180"/>
      </w:pPr>
    </w:lvl>
    <w:lvl w:ilvl="3" w:tplc="049E756E">
      <w:start w:val="1"/>
      <w:numFmt w:val="decimal"/>
      <w:lvlText w:val="%4."/>
      <w:lvlJc w:val="left"/>
      <w:pPr>
        <w:ind w:left="2880" w:hanging="360"/>
      </w:pPr>
    </w:lvl>
    <w:lvl w:ilvl="4" w:tplc="A03CA024">
      <w:start w:val="1"/>
      <w:numFmt w:val="lowerLetter"/>
      <w:lvlText w:val="%5."/>
      <w:lvlJc w:val="left"/>
      <w:pPr>
        <w:ind w:left="3600" w:hanging="360"/>
      </w:pPr>
    </w:lvl>
    <w:lvl w:ilvl="5" w:tplc="15A224D6">
      <w:start w:val="1"/>
      <w:numFmt w:val="lowerRoman"/>
      <w:lvlText w:val="%6."/>
      <w:lvlJc w:val="right"/>
      <w:pPr>
        <w:ind w:left="4320" w:hanging="180"/>
      </w:pPr>
    </w:lvl>
    <w:lvl w:ilvl="6" w:tplc="A942F3A4">
      <w:start w:val="1"/>
      <w:numFmt w:val="decimal"/>
      <w:lvlText w:val="%7."/>
      <w:lvlJc w:val="left"/>
      <w:pPr>
        <w:ind w:left="5040" w:hanging="360"/>
      </w:pPr>
    </w:lvl>
    <w:lvl w:ilvl="7" w:tplc="5BB6DDAC">
      <w:start w:val="1"/>
      <w:numFmt w:val="lowerLetter"/>
      <w:lvlText w:val="%8."/>
      <w:lvlJc w:val="left"/>
      <w:pPr>
        <w:ind w:left="5760" w:hanging="360"/>
      </w:pPr>
    </w:lvl>
    <w:lvl w:ilvl="8" w:tplc="8C82F5DE">
      <w:start w:val="1"/>
      <w:numFmt w:val="lowerRoman"/>
      <w:lvlText w:val="%9."/>
      <w:lvlJc w:val="right"/>
      <w:pPr>
        <w:ind w:left="6480" w:hanging="180"/>
      </w:pPr>
    </w:lvl>
  </w:abstractNum>
  <w:abstractNum w:abstractNumId="11"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E59A5"/>
    <w:multiLevelType w:val="multilevel"/>
    <w:tmpl w:val="A014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2786E"/>
    <w:multiLevelType w:val="hybridMultilevel"/>
    <w:tmpl w:val="01E276E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8718C"/>
    <w:multiLevelType w:val="hybridMultilevel"/>
    <w:tmpl w:val="89F4F35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CE241E7"/>
    <w:multiLevelType w:val="hybridMultilevel"/>
    <w:tmpl w:val="C532CAE0"/>
    <w:lvl w:ilvl="0" w:tplc="61CC577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34E2A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C714CB"/>
    <w:multiLevelType w:val="hybridMultilevel"/>
    <w:tmpl w:val="BF629F96"/>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A986AF"/>
    <w:multiLevelType w:val="hybridMultilevel"/>
    <w:tmpl w:val="F0E41C9E"/>
    <w:lvl w:ilvl="0" w:tplc="3DA2CE8A">
      <w:start w:val="1"/>
      <w:numFmt w:val="bullet"/>
      <w:lvlText w:val=""/>
      <w:lvlJc w:val="left"/>
      <w:pPr>
        <w:ind w:left="720" w:hanging="360"/>
      </w:pPr>
      <w:rPr>
        <w:rFonts w:ascii="Symbol" w:hAnsi="Symbol" w:hint="default"/>
      </w:rPr>
    </w:lvl>
    <w:lvl w:ilvl="1" w:tplc="02EC6564">
      <w:start w:val="1"/>
      <w:numFmt w:val="bullet"/>
      <w:lvlText w:val="o"/>
      <w:lvlJc w:val="left"/>
      <w:pPr>
        <w:ind w:left="1440" w:hanging="360"/>
      </w:pPr>
      <w:rPr>
        <w:rFonts w:ascii="Courier New" w:hAnsi="Courier New" w:hint="default"/>
      </w:rPr>
    </w:lvl>
    <w:lvl w:ilvl="2" w:tplc="03D8DC1C">
      <w:start w:val="1"/>
      <w:numFmt w:val="bullet"/>
      <w:lvlText w:val=""/>
      <w:lvlJc w:val="left"/>
      <w:pPr>
        <w:ind w:left="2160" w:hanging="360"/>
      </w:pPr>
      <w:rPr>
        <w:rFonts w:ascii="Wingdings" w:hAnsi="Wingdings" w:hint="default"/>
      </w:rPr>
    </w:lvl>
    <w:lvl w:ilvl="3" w:tplc="AD5C0D42">
      <w:start w:val="1"/>
      <w:numFmt w:val="bullet"/>
      <w:lvlText w:val=""/>
      <w:lvlJc w:val="left"/>
      <w:pPr>
        <w:ind w:left="2880" w:hanging="360"/>
      </w:pPr>
      <w:rPr>
        <w:rFonts w:ascii="Symbol" w:hAnsi="Symbol" w:hint="default"/>
      </w:rPr>
    </w:lvl>
    <w:lvl w:ilvl="4" w:tplc="FD9CDAE2">
      <w:start w:val="1"/>
      <w:numFmt w:val="bullet"/>
      <w:lvlText w:val="o"/>
      <w:lvlJc w:val="left"/>
      <w:pPr>
        <w:ind w:left="3600" w:hanging="360"/>
      </w:pPr>
      <w:rPr>
        <w:rFonts w:ascii="Courier New" w:hAnsi="Courier New" w:hint="default"/>
      </w:rPr>
    </w:lvl>
    <w:lvl w:ilvl="5" w:tplc="88EC5FF0">
      <w:start w:val="1"/>
      <w:numFmt w:val="bullet"/>
      <w:lvlText w:val=""/>
      <w:lvlJc w:val="left"/>
      <w:pPr>
        <w:ind w:left="4320" w:hanging="360"/>
      </w:pPr>
      <w:rPr>
        <w:rFonts w:ascii="Wingdings" w:hAnsi="Wingdings" w:hint="default"/>
      </w:rPr>
    </w:lvl>
    <w:lvl w:ilvl="6" w:tplc="DF2E7480">
      <w:start w:val="1"/>
      <w:numFmt w:val="bullet"/>
      <w:lvlText w:val=""/>
      <w:lvlJc w:val="left"/>
      <w:pPr>
        <w:ind w:left="5040" w:hanging="360"/>
      </w:pPr>
      <w:rPr>
        <w:rFonts w:ascii="Symbol" w:hAnsi="Symbol" w:hint="default"/>
      </w:rPr>
    </w:lvl>
    <w:lvl w:ilvl="7" w:tplc="B7B07D32">
      <w:start w:val="1"/>
      <w:numFmt w:val="bullet"/>
      <w:lvlText w:val="o"/>
      <w:lvlJc w:val="left"/>
      <w:pPr>
        <w:ind w:left="5760" w:hanging="360"/>
      </w:pPr>
      <w:rPr>
        <w:rFonts w:ascii="Courier New" w:hAnsi="Courier New" w:hint="default"/>
      </w:rPr>
    </w:lvl>
    <w:lvl w:ilvl="8" w:tplc="4BC2AEEA">
      <w:start w:val="1"/>
      <w:numFmt w:val="bullet"/>
      <w:lvlText w:val=""/>
      <w:lvlJc w:val="left"/>
      <w:pPr>
        <w:ind w:left="6480" w:hanging="360"/>
      </w:pPr>
      <w:rPr>
        <w:rFonts w:ascii="Wingdings" w:hAnsi="Wingdings" w:hint="default"/>
      </w:rPr>
    </w:lvl>
  </w:abstractNum>
  <w:abstractNum w:abstractNumId="23"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535CFC"/>
    <w:multiLevelType w:val="hybridMultilevel"/>
    <w:tmpl w:val="91EC9A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17"/>
  </w:num>
  <w:num w:numId="3">
    <w:abstractNumId w:val="9"/>
  </w:num>
  <w:num w:numId="4">
    <w:abstractNumId w:val="7"/>
  </w:num>
  <w:num w:numId="5">
    <w:abstractNumId w:val="13"/>
  </w:num>
  <w:num w:numId="6">
    <w:abstractNumId w:val="12"/>
  </w:num>
  <w:num w:numId="7">
    <w:abstractNumId w:val="16"/>
  </w:num>
  <w:num w:numId="8">
    <w:abstractNumId w:val="15"/>
  </w:num>
  <w:num w:numId="9">
    <w:abstractNumId w:val="19"/>
  </w:num>
  <w:num w:numId="10">
    <w:abstractNumId w:val="21"/>
  </w:num>
  <w:num w:numId="11">
    <w:abstractNumId w:val="24"/>
  </w:num>
  <w:num w:numId="12">
    <w:abstractNumId w:val="3"/>
  </w:num>
  <w:num w:numId="13">
    <w:abstractNumId w:val="2"/>
  </w:num>
  <w:num w:numId="14">
    <w:abstractNumId w:val="22"/>
  </w:num>
  <w:num w:numId="15">
    <w:abstractNumId w:val="11"/>
  </w:num>
  <w:num w:numId="16">
    <w:abstractNumId w:val="8"/>
  </w:num>
  <w:num w:numId="17">
    <w:abstractNumId w:val="23"/>
  </w:num>
  <w:num w:numId="18">
    <w:abstractNumId w:val="1"/>
  </w:num>
  <w:num w:numId="19">
    <w:abstractNumId w:val="18"/>
  </w:num>
  <w:num w:numId="20">
    <w:abstractNumId w:val="5"/>
  </w:num>
  <w:num w:numId="21">
    <w:abstractNumId w:val="26"/>
  </w:num>
  <w:num w:numId="22">
    <w:abstractNumId w:val="14"/>
  </w:num>
  <w:num w:numId="23">
    <w:abstractNumId w:val="0"/>
  </w:num>
  <w:num w:numId="24">
    <w:abstractNumId w:val="20"/>
  </w:num>
  <w:num w:numId="25">
    <w:abstractNumId w:val="10"/>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4D"/>
    <w:rsid w:val="000032DE"/>
    <w:rsid w:val="000045A0"/>
    <w:rsid w:val="000063CB"/>
    <w:rsid w:val="0000697D"/>
    <w:rsid w:val="0001412E"/>
    <w:rsid w:val="000157F1"/>
    <w:rsid w:val="00020D7F"/>
    <w:rsid w:val="00022EB5"/>
    <w:rsid w:val="00023AE1"/>
    <w:rsid w:val="000273A5"/>
    <w:rsid w:val="0003055A"/>
    <w:rsid w:val="000346EE"/>
    <w:rsid w:val="00040106"/>
    <w:rsid w:val="00043032"/>
    <w:rsid w:val="00045BC8"/>
    <w:rsid w:val="00057ACE"/>
    <w:rsid w:val="000615B3"/>
    <w:rsid w:val="00063D08"/>
    <w:rsid w:val="000645AD"/>
    <w:rsid w:val="00065F64"/>
    <w:rsid w:val="00067BA8"/>
    <w:rsid w:val="00073E3C"/>
    <w:rsid w:val="00076E5A"/>
    <w:rsid w:val="00083AE8"/>
    <w:rsid w:val="00083D0A"/>
    <w:rsid w:val="00087705"/>
    <w:rsid w:val="0009328D"/>
    <w:rsid w:val="00093301"/>
    <w:rsid w:val="00095109"/>
    <w:rsid w:val="0009572A"/>
    <w:rsid w:val="000958A4"/>
    <w:rsid w:val="000A1587"/>
    <w:rsid w:val="000A5960"/>
    <w:rsid w:val="000B0FE2"/>
    <w:rsid w:val="000B3D32"/>
    <w:rsid w:val="000B74D3"/>
    <w:rsid w:val="000B7B8F"/>
    <w:rsid w:val="000C1B77"/>
    <w:rsid w:val="000C1E0C"/>
    <w:rsid w:val="000C231C"/>
    <w:rsid w:val="000C3BC1"/>
    <w:rsid w:val="000C7474"/>
    <w:rsid w:val="000D004F"/>
    <w:rsid w:val="000D0AFD"/>
    <w:rsid w:val="000D2F4C"/>
    <w:rsid w:val="000D5A38"/>
    <w:rsid w:val="000D6A84"/>
    <w:rsid w:val="000E2822"/>
    <w:rsid w:val="000E2B7C"/>
    <w:rsid w:val="000E3BDA"/>
    <w:rsid w:val="000E4AA5"/>
    <w:rsid w:val="000E6008"/>
    <w:rsid w:val="000E6265"/>
    <w:rsid w:val="000F228A"/>
    <w:rsid w:val="000F42DB"/>
    <w:rsid w:val="000F5407"/>
    <w:rsid w:val="000F6CFE"/>
    <w:rsid w:val="000F7D92"/>
    <w:rsid w:val="00101665"/>
    <w:rsid w:val="00101FBB"/>
    <w:rsid w:val="0010423F"/>
    <w:rsid w:val="00110E3B"/>
    <w:rsid w:val="00111BDE"/>
    <w:rsid w:val="00112E32"/>
    <w:rsid w:val="00120E9B"/>
    <w:rsid w:val="0012190B"/>
    <w:rsid w:val="001251FF"/>
    <w:rsid w:val="001276D6"/>
    <w:rsid w:val="001322EB"/>
    <w:rsid w:val="00134F7E"/>
    <w:rsid w:val="00140527"/>
    <w:rsid w:val="001448A6"/>
    <w:rsid w:val="001525CB"/>
    <w:rsid w:val="00152624"/>
    <w:rsid w:val="00153BF4"/>
    <w:rsid w:val="001559E1"/>
    <w:rsid w:val="0015645B"/>
    <w:rsid w:val="00165D0A"/>
    <w:rsid w:val="001714CC"/>
    <w:rsid w:val="00173E95"/>
    <w:rsid w:val="00176057"/>
    <w:rsid w:val="00177278"/>
    <w:rsid w:val="00181528"/>
    <w:rsid w:val="00181FB4"/>
    <w:rsid w:val="00183EE2"/>
    <w:rsid w:val="00183FFB"/>
    <w:rsid w:val="001843DD"/>
    <w:rsid w:val="0018559B"/>
    <w:rsid w:val="0019119D"/>
    <w:rsid w:val="00191576"/>
    <w:rsid w:val="00193552"/>
    <w:rsid w:val="001A0C88"/>
    <w:rsid w:val="001A3B8E"/>
    <w:rsid w:val="001A49A8"/>
    <w:rsid w:val="001A6FA0"/>
    <w:rsid w:val="001A74C6"/>
    <w:rsid w:val="001B1408"/>
    <w:rsid w:val="001B2C40"/>
    <w:rsid w:val="001B33A4"/>
    <w:rsid w:val="001B4F37"/>
    <w:rsid w:val="001B7582"/>
    <w:rsid w:val="001C177F"/>
    <w:rsid w:val="001C66A9"/>
    <w:rsid w:val="001D2499"/>
    <w:rsid w:val="001D25B0"/>
    <w:rsid w:val="001D265A"/>
    <w:rsid w:val="001D4CB6"/>
    <w:rsid w:val="001E23F5"/>
    <w:rsid w:val="001E3D0D"/>
    <w:rsid w:val="001E4CFA"/>
    <w:rsid w:val="001E5462"/>
    <w:rsid w:val="001E5620"/>
    <w:rsid w:val="001E6522"/>
    <w:rsid w:val="001F089E"/>
    <w:rsid w:val="001F09DA"/>
    <w:rsid w:val="001F1AB8"/>
    <w:rsid w:val="001F3464"/>
    <w:rsid w:val="001F42DF"/>
    <w:rsid w:val="0020036F"/>
    <w:rsid w:val="002033F5"/>
    <w:rsid w:val="002054D0"/>
    <w:rsid w:val="00207D64"/>
    <w:rsid w:val="00207DDC"/>
    <w:rsid w:val="002134C8"/>
    <w:rsid w:val="00215969"/>
    <w:rsid w:val="0022340D"/>
    <w:rsid w:val="002302F1"/>
    <w:rsid w:val="00232BB5"/>
    <w:rsid w:val="002336DB"/>
    <w:rsid w:val="00235DEC"/>
    <w:rsid w:val="002376CC"/>
    <w:rsid w:val="00237FED"/>
    <w:rsid w:val="002405DD"/>
    <w:rsid w:val="002419B5"/>
    <w:rsid w:val="00244852"/>
    <w:rsid w:val="002459AF"/>
    <w:rsid w:val="00246501"/>
    <w:rsid w:val="0024680B"/>
    <w:rsid w:val="00247CC3"/>
    <w:rsid w:val="00253B87"/>
    <w:rsid w:val="00254B94"/>
    <w:rsid w:val="00256882"/>
    <w:rsid w:val="0026163D"/>
    <w:rsid w:val="0026421F"/>
    <w:rsid w:val="0026767E"/>
    <w:rsid w:val="00271EFC"/>
    <w:rsid w:val="00277C17"/>
    <w:rsid w:val="00280038"/>
    <w:rsid w:val="002828C7"/>
    <w:rsid w:val="002927A6"/>
    <w:rsid w:val="00293319"/>
    <w:rsid w:val="002A036E"/>
    <w:rsid w:val="002A0400"/>
    <w:rsid w:val="002A1CCB"/>
    <w:rsid w:val="002A67BF"/>
    <w:rsid w:val="002B1E5E"/>
    <w:rsid w:val="002B43B6"/>
    <w:rsid w:val="002B50DE"/>
    <w:rsid w:val="002B6604"/>
    <w:rsid w:val="002C32D5"/>
    <w:rsid w:val="002C4370"/>
    <w:rsid w:val="002C46E8"/>
    <w:rsid w:val="002C54D6"/>
    <w:rsid w:val="002C62EE"/>
    <w:rsid w:val="002D34C0"/>
    <w:rsid w:val="002D618D"/>
    <w:rsid w:val="002E1FAF"/>
    <w:rsid w:val="002E64E0"/>
    <w:rsid w:val="002E6A05"/>
    <w:rsid w:val="002E6ED4"/>
    <w:rsid w:val="002F03D6"/>
    <w:rsid w:val="002F0DDB"/>
    <w:rsid w:val="002F2A69"/>
    <w:rsid w:val="002F45CA"/>
    <w:rsid w:val="00304F19"/>
    <w:rsid w:val="003054C7"/>
    <w:rsid w:val="003066BC"/>
    <w:rsid w:val="00306787"/>
    <w:rsid w:val="00307AA5"/>
    <w:rsid w:val="00322488"/>
    <w:rsid w:val="00322942"/>
    <w:rsid w:val="0033041B"/>
    <w:rsid w:val="00331EF8"/>
    <w:rsid w:val="00333375"/>
    <w:rsid w:val="00334D96"/>
    <w:rsid w:val="0033537E"/>
    <w:rsid w:val="00335F37"/>
    <w:rsid w:val="003439CC"/>
    <w:rsid w:val="0034513E"/>
    <w:rsid w:val="00345844"/>
    <w:rsid w:val="00353B69"/>
    <w:rsid w:val="003563A4"/>
    <w:rsid w:val="00361DF6"/>
    <w:rsid w:val="00362682"/>
    <w:rsid w:val="00363FE4"/>
    <w:rsid w:val="003654C1"/>
    <w:rsid w:val="003673AF"/>
    <w:rsid w:val="00367564"/>
    <w:rsid w:val="0037034A"/>
    <w:rsid w:val="00372ED7"/>
    <w:rsid w:val="00373ED4"/>
    <w:rsid w:val="00381C12"/>
    <w:rsid w:val="00382692"/>
    <w:rsid w:val="00383975"/>
    <w:rsid w:val="003847D9"/>
    <w:rsid w:val="003878F6"/>
    <w:rsid w:val="00390E4B"/>
    <w:rsid w:val="0039179D"/>
    <w:rsid w:val="003949D8"/>
    <w:rsid w:val="00396828"/>
    <w:rsid w:val="00397A1D"/>
    <w:rsid w:val="003A043C"/>
    <w:rsid w:val="003A0765"/>
    <w:rsid w:val="003A1523"/>
    <w:rsid w:val="003B0723"/>
    <w:rsid w:val="003B16DE"/>
    <w:rsid w:val="003B1C77"/>
    <w:rsid w:val="003B434A"/>
    <w:rsid w:val="003B67D6"/>
    <w:rsid w:val="003B7355"/>
    <w:rsid w:val="003C0F01"/>
    <w:rsid w:val="003C0F98"/>
    <w:rsid w:val="003C2321"/>
    <w:rsid w:val="003C3201"/>
    <w:rsid w:val="003D2C13"/>
    <w:rsid w:val="003E064C"/>
    <w:rsid w:val="003E0E6E"/>
    <w:rsid w:val="003E1CB2"/>
    <w:rsid w:val="003E420C"/>
    <w:rsid w:val="003E59D3"/>
    <w:rsid w:val="003E5B81"/>
    <w:rsid w:val="003E6823"/>
    <w:rsid w:val="003F28F3"/>
    <w:rsid w:val="003F3966"/>
    <w:rsid w:val="003F4186"/>
    <w:rsid w:val="003F4426"/>
    <w:rsid w:val="003F7C64"/>
    <w:rsid w:val="004013B1"/>
    <w:rsid w:val="004030D4"/>
    <w:rsid w:val="00403401"/>
    <w:rsid w:val="00404D51"/>
    <w:rsid w:val="00406724"/>
    <w:rsid w:val="00407409"/>
    <w:rsid w:val="00410C2E"/>
    <w:rsid w:val="00411913"/>
    <w:rsid w:val="00414FF7"/>
    <w:rsid w:val="004161BE"/>
    <w:rsid w:val="004209ED"/>
    <w:rsid w:val="00432EC9"/>
    <w:rsid w:val="004336B4"/>
    <w:rsid w:val="004351BD"/>
    <w:rsid w:val="00436AA3"/>
    <w:rsid w:val="00436BCC"/>
    <w:rsid w:val="004412D2"/>
    <w:rsid w:val="0044180E"/>
    <w:rsid w:val="004426B3"/>
    <w:rsid w:val="004430D3"/>
    <w:rsid w:val="00443613"/>
    <w:rsid w:val="00444A98"/>
    <w:rsid w:val="00454AD9"/>
    <w:rsid w:val="004564A0"/>
    <w:rsid w:val="0046210A"/>
    <w:rsid w:val="00470C4C"/>
    <w:rsid w:val="00472E30"/>
    <w:rsid w:val="00475204"/>
    <w:rsid w:val="00475484"/>
    <w:rsid w:val="00475559"/>
    <w:rsid w:val="0048302E"/>
    <w:rsid w:val="00483FC2"/>
    <w:rsid w:val="004927B6"/>
    <w:rsid w:val="004A0AD6"/>
    <w:rsid w:val="004A0C7C"/>
    <w:rsid w:val="004A41CF"/>
    <w:rsid w:val="004A5DC9"/>
    <w:rsid w:val="004A779A"/>
    <w:rsid w:val="004B1180"/>
    <w:rsid w:val="004B64CD"/>
    <w:rsid w:val="004B695B"/>
    <w:rsid w:val="004C4974"/>
    <w:rsid w:val="004C565A"/>
    <w:rsid w:val="004C5E58"/>
    <w:rsid w:val="004D6AE9"/>
    <w:rsid w:val="004E1548"/>
    <w:rsid w:val="004E297A"/>
    <w:rsid w:val="004E3607"/>
    <w:rsid w:val="004E505A"/>
    <w:rsid w:val="004E605D"/>
    <w:rsid w:val="004F08B2"/>
    <w:rsid w:val="004F385D"/>
    <w:rsid w:val="004F3D9F"/>
    <w:rsid w:val="0050744E"/>
    <w:rsid w:val="005106FD"/>
    <w:rsid w:val="00517E00"/>
    <w:rsid w:val="00530A24"/>
    <w:rsid w:val="00531DA7"/>
    <w:rsid w:val="00533161"/>
    <w:rsid w:val="00536919"/>
    <w:rsid w:val="005455B0"/>
    <w:rsid w:val="00545A3F"/>
    <w:rsid w:val="00553D18"/>
    <w:rsid w:val="00554C3E"/>
    <w:rsid w:val="00554D96"/>
    <w:rsid w:val="005551C6"/>
    <w:rsid w:val="00557272"/>
    <w:rsid w:val="00563B7F"/>
    <w:rsid w:val="00564A66"/>
    <w:rsid w:val="0056504D"/>
    <w:rsid w:val="005658A6"/>
    <w:rsid w:val="00573A7C"/>
    <w:rsid w:val="00575FC1"/>
    <w:rsid w:val="00577C60"/>
    <w:rsid w:val="00582BD6"/>
    <w:rsid w:val="00583866"/>
    <w:rsid w:val="00583868"/>
    <w:rsid w:val="00584C06"/>
    <w:rsid w:val="0058580F"/>
    <w:rsid w:val="00586499"/>
    <w:rsid w:val="005918A5"/>
    <w:rsid w:val="005A259E"/>
    <w:rsid w:val="005A3C5E"/>
    <w:rsid w:val="005A41BB"/>
    <w:rsid w:val="005A5867"/>
    <w:rsid w:val="005A7F8D"/>
    <w:rsid w:val="005B2522"/>
    <w:rsid w:val="005B2905"/>
    <w:rsid w:val="005C05D5"/>
    <w:rsid w:val="005C14C7"/>
    <w:rsid w:val="005C2AC3"/>
    <w:rsid w:val="005C36CD"/>
    <w:rsid w:val="005C4B78"/>
    <w:rsid w:val="005C4F1C"/>
    <w:rsid w:val="005C5073"/>
    <w:rsid w:val="005D31A6"/>
    <w:rsid w:val="005D3250"/>
    <w:rsid w:val="005D42E0"/>
    <w:rsid w:val="005E32BE"/>
    <w:rsid w:val="005E3A31"/>
    <w:rsid w:val="005E3ECB"/>
    <w:rsid w:val="005E58C7"/>
    <w:rsid w:val="005F0861"/>
    <w:rsid w:val="005F3F11"/>
    <w:rsid w:val="00603CA9"/>
    <w:rsid w:val="00607CE5"/>
    <w:rsid w:val="00611921"/>
    <w:rsid w:val="00613F28"/>
    <w:rsid w:val="00614ECA"/>
    <w:rsid w:val="0061572E"/>
    <w:rsid w:val="0061604E"/>
    <w:rsid w:val="006178E4"/>
    <w:rsid w:val="00617A86"/>
    <w:rsid w:val="0062271F"/>
    <w:rsid w:val="006227C2"/>
    <w:rsid w:val="0062798F"/>
    <w:rsid w:val="006311E4"/>
    <w:rsid w:val="006318E3"/>
    <w:rsid w:val="00632341"/>
    <w:rsid w:val="00634595"/>
    <w:rsid w:val="00640585"/>
    <w:rsid w:val="006466DF"/>
    <w:rsid w:val="006554D6"/>
    <w:rsid w:val="00655893"/>
    <w:rsid w:val="00655A75"/>
    <w:rsid w:val="00657F8C"/>
    <w:rsid w:val="00670CE5"/>
    <w:rsid w:val="0067399A"/>
    <w:rsid w:val="00673C75"/>
    <w:rsid w:val="00673F10"/>
    <w:rsid w:val="00676DE3"/>
    <w:rsid w:val="00677006"/>
    <w:rsid w:val="006805FB"/>
    <w:rsid w:val="006807B9"/>
    <w:rsid w:val="006816E3"/>
    <w:rsid w:val="0069093A"/>
    <w:rsid w:val="00693E76"/>
    <w:rsid w:val="00695233"/>
    <w:rsid w:val="00697725"/>
    <w:rsid w:val="00697A03"/>
    <w:rsid w:val="006A4A0A"/>
    <w:rsid w:val="006A6A63"/>
    <w:rsid w:val="006B0202"/>
    <w:rsid w:val="006B0488"/>
    <w:rsid w:val="006B3B96"/>
    <w:rsid w:val="006B51A4"/>
    <w:rsid w:val="006B6219"/>
    <w:rsid w:val="006C0EE6"/>
    <w:rsid w:val="006C211E"/>
    <w:rsid w:val="006C4820"/>
    <w:rsid w:val="006C4CFC"/>
    <w:rsid w:val="006C6C69"/>
    <w:rsid w:val="006C7AF4"/>
    <w:rsid w:val="006C7EC1"/>
    <w:rsid w:val="006D0087"/>
    <w:rsid w:val="006D318A"/>
    <w:rsid w:val="006D49F4"/>
    <w:rsid w:val="006D5549"/>
    <w:rsid w:val="006D5565"/>
    <w:rsid w:val="006D78CA"/>
    <w:rsid w:val="006E1594"/>
    <w:rsid w:val="006E15DD"/>
    <w:rsid w:val="006E1A06"/>
    <w:rsid w:val="006E4A41"/>
    <w:rsid w:val="006E4BBC"/>
    <w:rsid w:val="006E5794"/>
    <w:rsid w:val="006E586C"/>
    <w:rsid w:val="006F2229"/>
    <w:rsid w:val="006F2ADC"/>
    <w:rsid w:val="006F3648"/>
    <w:rsid w:val="006F420A"/>
    <w:rsid w:val="006F693B"/>
    <w:rsid w:val="00706614"/>
    <w:rsid w:val="007111A2"/>
    <w:rsid w:val="007161A7"/>
    <w:rsid w:val="00720994"/>
    <w:rsid w:val="00724FF4"/>
    <w:rsid w:val="007257EF"/>
    <w:rsid w:val="0073334D"/>
    <w:rsid w:val="007422F5"/>
    <w:rsid w:val="00742770"/>
    <w:rsid w:val="00744414"/>
    <w:rsid w:val="00745DFF"/>
    <w:rsid w:val="0075028B"/>
    <w:rsid w:val="0075508D"/>
    <w:rsid w:val="00756209"/>
    <w:rsid w:val="00756358"/>
    <w:rsid w:val="007649C4"/>
    <w:rsid w:val="00766240"/>
    <w:rsid w:val="00766E6B"/>
    <w:rsid w:val="007711B1"/>
    <w:rsid w:val="00771AE7"/>
    <w:rsid w:val="0077513D"/>
    <w:rsid w:val="00775F15"/>
    <w:rsid w:val="0078207A"/>
    <w:rsid w:val="00785967"/>
    <w:rsid w:val="00786F3F"/>
    <w:rsid w:val="00794BA6"/>
    <w:rsid w:val="007974BD"/>
    <w:rsid w:val="007A06B6"/>
    <w:rsid w:val="007A1930"/>
    <w:rsid w:val="007A1AA1"/>
    <w:rsid w:val="007A3899"/>
    <w:rsid w:val="007A419D"/>
    <w:rsid w:val="007A6D76"/>
    <w:rsid w:val="007B10B2"/>
    <w:rsid w:val="007B2E4D"/>
    <w:rsid w:val="007B2FDD"/>
    <w:rsid w:val="007B3F85"/>
    <w:rsid w:val="007B423B"/>
    <w:rsid w:val="007B7B10"/>
    <w:rsid w:val="007C0E04"/>
    <w:rsid w:val="007C267B"/>
    <w:rsid w:val="007C2819"/>
    <w:rsid w:val="007C421B"/>
    <w:rsid w:val="007C5B72"/>
    <w:rsid w:val="007C6ABD"/>
    <w:rsid w:val="007C6C29"/>
    <w:rsid w:val="007D3B86"/>
    <w:rsid w:val="007D5BB9"/>
    <w:rsid w:val="007D7294"/>
    <w:rsid w:val="007E19C8"/>
    <w:rsid w:val="007E40EF"/>
    <w:rsid w:val="007E563A"/>
    <w:rsid w:val="007E5B9D"/>
    <w:rsid w:val="007F0079"/>
    <w:rsid w:val="007F292E"/>
    <w:rsid w:val="007F38E3"/>
    <w:rsid w:val="007F5EF2"/>
    <w:rsid w:val="007F68C4"/>
    <w:rsid w:val="008011BD"/>
    <w:rsid w:val="0080162B"/>
    <w:rsid w:val="00802F0C"/>
    <w:rsid w:val="008076F2"/>
    <w:rsid w:val="0080BCE7"/>
    <w:rsid w:val="00810512"/>
    <w:rsid w:val="008128A9"/>
    <w:rsid w:val="008146FB"/>
    <w:rsid w:val="00814EF3"/>
    <w:rsid w:val="00821E1A"/>
    <w:rsid w:val="008224B6"/>
    <w:rsid w:val="008247B7"/>
    <w:rsid w:val="008275A9"/>
    <w:rsid w:val="00832772"/>
    <w:rsid w:val="00834D3A"/>
    <w:rsid w:val="0083720D"/>
    <w:rsid w:val="0083737C"/>
    <w:rsid w:val="008377D6"/>
    <w:rsid w:val="00837FA5"/>
    <w:rsid w:val="0084531C"/>
    <w:rsid w:val="0084639C"/>
    <w:rsid w:val="00847E17"/>
    <w:rsid w:val="00850C2A"/>
    <w:rsid w:val="00853862"/>
    <w:rsid w:val="00853AC7"/>
    <w:rsid w:val="00853D70"/>
    <w:rsid w:val="00865EA9"/>
    <w:rsid w:val="00866F5C"/>
    <w:rsid w:val="00872528"/>
    <w:rsid w:val="008745B3"/>
    <w:rsid w:val="00874D4F"/>
    <w:rsid w:val="00877398"/>
    <w:rsid w:val="008871FB"/>
    <w:rsid w:val="00893617"/>
    <w:rsid w:val="0089424D"/>
    <w:rsid w:val="008945AF"/>
    <w:rsid w:val="008A224A"/>
    <w:rsid w:val="008A42DE"/>
    <w:rsid w:val="008A50A9"/>
    <w:rsid w:val="008B404C"/>
    <w:rsid w:val="008B46BC"/>
    <w:rsid w:val="008B49A6"/>
    <w:rsid w:val="008B7325"/>
    <w:rsid w:val="008C04F1"/>
    <w:rsid w:val="008C0513"/>
    <w:rsid w:val="008C1752"/>
    <w:rsid w:val="008C230C"/>
    <w:rsid w:val="008D241A"/>
    <w:rsid w:val="008D3638"/>
    <w:rsid w:val="008D3A82"/>
    <w:rsid w:val="008D3DAE"/>
    <w:rsid w:val="008D5AF6"/>
    <w:rsid w:val="008D5CBC"/>
    <w:rsid w:val="008D6AA1"/>
    <w:rsid w:val="008E2BA0"/>
    <w:rsid w:val="008E746A"/>
    <w:rsid w:val="008E75A5"/>
    <w:rsid w:val="008F075B"/>
    <w:rsid w:val="008F0850"/>
    <w:rsid w:val="008F0933"/>
    <w:rsid w:val="008F237F"/>
    <w:rsid w:val="008F3254"/>
    <w:rsid w:val="008F33FD"/>
    <w:rsid w:val="008F743C"/>
    <w:rsid w:val="008F76F9"/>
    <w:rsid w:val="00900029"/>
    <w:rsid w:val="009024E6"/>
    <w:rsid w:val="009065F3"/>
    <w:rsid w:val="0090666C"/>
    <w:rsid w:val="00913B7D"/>
    <w:rsid w:val="00913E45"/>
    <w:rsid w:val="00915097"/>
    <w:rsid w:val="009160FC"/>
    <w:rsid w:val="00920913"/>
    <w:rsid w:val="009220F4"/>
    <w:rsid w:val="009249ED"/>
    <w:rsid w:val="00926D67"/>
    <w:rsid w:val="00934117"/>
    <w:rsid w:val="009344BA"/>
    <w:rsid w:val="0093475C"/>
    <w:rsid w:val="009352AE"/>
    <w:rsid w:val="00940C7A"/>
    <w:rsid w:val="00944F80"/>
    <w:rsid w:val="00945356"/>
    <w:rsid w:val="00950A3A"/>
    <w:rsid w:val="00950EB2"/>
    <w:rsid w:val="00950ED4"/>
    <w:rsid w:val="00952ACE"/>
    <w:rsid w:val="0095327D"/>
    <w:rsid w:val="009540DC"/>
    <w:rsid w:val="00961238"/>
    <w:rsid w:val="009636B6"/>
    <w:rsid w:val="00964C1F"/>
    <w:rsid w:val="00971400"/>
    <w:rsid w:val="00973804"/>
    <w:rsid w:val="00975172"/>
    <w:rsid w:val="00975D30"/>
    <w:rsid w:val="009771C6"/>
    <w:rsid w:val="0099051B"/>
    <w:rsid w:val="009927A8"/>
    <w:rsid w:val="00997803"/>
    <w:rsid w:val="009A16C1"/>
    <w:rsid w:val="009A563F"/>
    <w:rsid w:val="009A6E15"/>
    <w:rsid w:val="009B5D74"/>
    <w:rsid w:val="009B6C7D"/>
    <w:rsid w:val="009B7B2E"/>
    <w:rsid w:val="009C04C8"/>
    <w:rsid w:val="009C246C"/>
    <w:rsid w:val="009C4FFE"/>
    <w:rsid w:val="009C51A0"/>
    <w:rsid w:val="009C6C22"/>
    <w:rsid w:val="009C741E"/>
    <w:rsid w:val="009D2184"/>
    <w:rsid w:val="009E756B"/>
    <w:rsid w:val="009F0B69"/>
    <w:rsid w:val="009F143E"/>
    <w:rsid w:val="009F7D37"/>
    <w:rsid w:val="00A012E5"/>
    <w:rsid w:val="00A04B87"/>
    <w:rsid w:val="00A07196"/>
    <w:rsid w:val="00A10E54"/>
    <w:rsid w:val="00A126FB"/>
    <w:rsid w:val="00A13AFB"/>
    <w:rsid w:val="00A155BD"/>
    <w:rsid w:val="00A1A187"/>
    <w:rsid w:val="00A2366A"/>
    <w:rsid w:val="00A24D89"/>
    <w:rsid w:val="00A30AB2"/>
    <w:rsid w:val="00A31967"/>
    <w:rsid w:val="00A35DBB"/>
    <w:rsid w:val="00A35DC7"/>
    <w:rsid w:val="00A363A3"/>
    <w:rsid w:val="00A402C8"/>
    <w:rsid w:val="00A42A14"/>
    <w:rsid w:val="00A42B54"/>
    <w:rsid w:val="00A43859"/>
    <w:rsid w:val="00A44523"/>
    <w:rsid w:val="00A44E58"/>
    <w:rsid w:val="00A51550"/>
    <w:rsid w:val="00A5425F"/>
    <w:rsid w:val="00A611B1"/>
    <w:rsid w:val="00A650B0"/>
    <w:rsid w:val="00A650DC"/>
    <w:rsid w:val="00A709AD"/>
    <w:rsid w:val="00A719C9"/>
    <w:rsid w:val="00A721C3"/>
    <w:rsid w:val="00A733EA"/>
    <w:rsid w:val="00A802A2"/>
    <w:rsid w:val="00A81B47"/>
    <w:rsid w:val="00A82F01"/>
    <w:rsid w:val="00A84676"/>
    <w:rsid w:val="00A858C4"/>
    <w:rsid w:val="00A861EF"/>
    <w:rsid w:val="00A864AC"/>
    <w:rsid w:val="00A911A9"/>
    <w:rsid w:val="00A91F95"/>
    <w:rsid w:val="00A92D56"/>
    <w:rsid w:val="00A93517"/>
    <w:rsid w:val="00A94143"/>
    <w:rsid w:val="00A94D81"/>
    <w:rsid w:val="00A968C6"/>
    <w:rsid w:val="00AA2AFC"/>
    <w:rsid w:val="00AA2C27"/>
    <w:rsid w:val="00AA7612"/>
    <w:rsid w:val="00AA77B1"/>
    <w:rsid w:val="00AB0937"/>
    <w:rsid w:val="00AB3FBA"/>
    <w:rsid w:val="00AB5FB1"/>
    <w:rsid w:val="00AC3D5B"/>
    <w:rsid w:val="00AC4F25"/>
    <w:rsid w:val="00AC6C02"/>
    <w:rsid w:val="00AC6FA6"/>
    <w:rsid w:val="00AC749E"/>
    <w:rsid w:val="00AC7DD2"/>
    <w:rsid w:val="00AD0652"/>
    <w:rsid w:val="00AD11DE"/>
    <w:rsid w:val="00AD4159"/>
    <w:rsid w:val="00AE2527"/>
    <w:rsid w:val="00AE3296"/>
    <w:rsid w:val="00AE4401"/>
    <w:rsid w:val="00AE53AD"/>
    <w:rsid w:val="00AE719F"/>
    <w:rsid w:val="00AF0835"/>
    <w:rsid w:val="00AF2E46"/>
    <w:rsid w:val="00AF3457"/>
    <w:rsid w:val="00AF7798"/>
    <w:rsid w:val="00AF7B1A"/>
    <w:rsid w:val="00B01A0A"/>
    <w:rsid w:val="00B02E5B"/>
    <w:rsid w:val="00B03E4F"/>
    <w:rsid w:val="00B04092"/>
    <w:rsid w:val="00B05D8F"/>
    <w:rsid w:val="00B12A31"/>
    <w:rsid w:val="00B14896"/>
    <w:rsid w:val="00B14B45"/>
    <w:rsid w:val="00B33430"/>
    <w:rsid w:val="00B444F8"/>
    <w:rsid w:val="00B51579"/>
    <w:rsid w:val="00B5374E"/>
    <w:rsid w:val="00B54DD9"/>
    <w:rsid w:val="00B554EF"/>
    <w:rsid w:val="00B60A4E"/>
    <w:rsid w:val="00B61A99"/>
    <w:rsid w:val="00B6396F"/>
    <w:rsid w:val="00B63C27"/>
    <w:rsid w:val="00B65DB1"/>
    <w:rsid w:val="00B7338E"/>
    <w:rsid w:val="00B74DDE"/>
    <w:rsid w:val="00B76945"/>
    <w:rsid w:val="00B80ABF"/>
    <w:rsid w:val="00B81C96"/>
    <w:rsid w:val="00B827DD"/>
    <w:rsid w:val="00B82AD1"/>
    <w:rsid w:val="00B83797"/>
    <w:rsid w:val="00B851A9"/>
    <w:rsid w:val="00B863EC"/>
    <w:rsid w:val="00B91B83"/>
    <w:rsid w:val="00B91F89"/>
    <w:rsid w:val="00B925DE"/>
    <w:rsid w:val="00B93AED"/>
    <w:rsid w:val="00B95A49"/>
    <w:rsid w:val="00BA008F"/>
    <w:rsid w:val="00BA0DDB"/>
    <w:rsid w:val="00BA5E5D"/>
    <w:rsid w:val="00BA70FE"/>
    <w:rsid w:val="00BA763E"/>
    <w:rsid w:val="00BB222B"/>
    <w:rsid w:val="00BB3B76"/>
    <w:rsid w:val="00BB4B32"/>
    <w:rsid w:val="00BB4F52"/>
    <w:rsid w:val="00BB683B"/>
    <w:rsid w:val="00BC1BD4"/>
    <w:rsid w:val="00BC2268"/>
    <w:rsid w:val="00BC62FE"/>
    <w:rsid w:val="00BD0CC2"/>
    <w:rsid w:val="00BE006D"/>
    <w:rsid w:val="00BE061F"/>
    <w:rsid w:val="00BE072A"/>
    <w:rsid w:val="00BE14EA"/>
    <w:rsid w:val="00BE3E20"/>
    <w:rsid w:val="00BE3F7F"/>
    <w:rsid w:val="00BE7CA1"/>
    <w:rsid w:val="00BF5C41"/>
    <w:rsid w:val="00BF6D75"/>
    <w:rsid w:val="00BF7AE7"/>
    <w:rsid w:val="00C0084F"/>
    <w:rsid w:val="00C00DDF"/>
    <w:rsid w:val="00C014AF"/>
    <w:rsid w:val="00C05518"/>
    <w:rsid w:val="00C11F69"/>
    <w:rsid w:val="00C131CA"/>
    <w:rsid w:val="00C1355C"/>
    <w:rsid w:val="00C139DE"/>
    <w:rsid w:val="00C16832"/>
    <w:rsid w:val="00C213D7"/>
    <w:rsid w:val="00C25F86"/>
    <w:rsid w:val="00C27465"/>
    <w:rsid w:val="00C27AEE"/>
    <w:rsid w:val="00C3552F"/>
    <w:rsid w:val="00C37776"/>
    <w:rsid w:val="00C4755E"/>
    <w:rsid w:val="00C54A89"/>
    <w:rsid w:val="00C60A1B"/>
    <w:rsid w:val="00C61103"/>
    <w:rsid w:val="00C6141F"/>
    <w:rsid w:val="00C639CA"/>
    <w:rsid w:val="00C65C0C"/>
    <w:rsid w:val="00C70943"/>
    <w:rsid w:val="00C71A02"/>
    <w:rsid w:val="00C7780F"/>
    <w:rsid w:val="00C808E8"/>
    <w:rsid w:val="00C80BF0"/>
    <w:rsid w:val="00C81201"/>
    <w:rsid w:val="00C825EF"/>
    <w:rsid w:val="00C82639"/>
    <w:rsid w:val="00C82705"/>
    <w:rsid w:val="00C83D2C"/>
    <w:rsid w:val="00C8564A"/>
    <w:rsid w:val="00C8601D"/>
    <w:rsid w:val="00C92828"/>
    <w:rsid w:val="00C93E58"/>
    <w:rsid w:val="00CA3787"/>
    <w:rsid w:val="00CA4084"/>
    <w:rsid w:val="00CA4E66"/>
    <w:rsid w:val="00CA61F9"/>
    <w:rsid w:val="00CA6B49"/>
    <w:rsid w:val="00CB23B8"/>
    <w:rsid w:val="00CB2EC3"/>
    <w:rsid w:val="00CB4999"/>
    <w:rsid w:val="00CB77D5"/>
    <w:rsid w:val="00CB7BAE"/>
    <w:rsid w:val="00CB7ED5"/>
    <w:rsid w:val="00CC1894"/>
    <w:rsid w:val="00CC1DCB"/>
    <w:rsid w:val="00CC3DCD"/>
    <w:rsid w:val="00CC6056"/>
    <w:rsid w:val="00CD227B"/>
    <w:rsid w:val="00CD277B"/>
    <w:rsid w:val="00CD3357"/>
    <w:rsid w:val="00CD5290"/>
    <w:rsid w:val="00CE00C4"/>
    <w:rsid w:val="00CE0CDF"/>
    <w:rsid w:val="00CE4123"/>
    <w:rsid w:val="00CE44EC"/>
    <w:rsid w:val="00CE5425"/>
    <w:rsid w:val="00CE5929"/>
    <w:rsid w:val="00CF396D"/>
    <w:rsid w:val="00CF3B52"/>
    <w:rsid w:val="00D01E3D"/>
    <w:rsid w:val="00D06A32"/>
    <w:rsid w:val="00D14737"/>
    <w:rsid w:val="00D15AA3"/>
    <w:rsid w:val="00D2187E"/>
    <w:rsid w:val="00D24097"/>
    <w:rsid w:val="00D2569D"/>
    <w:rsid w:val="00D25EE3"/>
    <w:rsid w:val="00D30482"/>
    <w:rsid w:val="00D3211A"/>
    <w:rsid w:val="00D345E1"/>
    <w:rsid w:val="00D3539C"/>
    <w:rsid w:val="00D417FB"/>
    <w:rsid w:val="00D45B5E"/>
    <w:rsid w:val="00D46F0D"/>
    <w:rsid w:val="00D51CAF"/>
    <w:rsid w:val="00D56343"/>
    <w:rsid w:val="00D57A59"/>
    <w:rsid w:val="00D619D8"/>
    <w:rsid w:val="00D6595A"/>
    <w:rsid w:val="00D82822"/>
    <w:rsid w:val="00D8331A"/>
    <w:rsid w:val="00D90488"/>
    <w:rsid w:val="00D9222A"/>
    <w:rsid w:val="00D95478"/>
    <w:rsid w:val="00DA0453"/>
    <w:rsid w:val="00DA085F"/>
    <w:rsid w:val="00DA3447"/>
    <w:rsid w:val="00DA3DEA"/>
    <w:rsid w:val="00DA61A9"/>
    <w:rsid w:val="00DA6AFA"/>
    <w:rsid w:val="00DB0FF1"/>
    <w:rsid w:val="00DB3311"/>
    <w:rsid w:val="00DB53B4"/>
    <w:rsid w:val="00DB7C96"/>
    <w:rsid w:val="00DC0318"/>
    <w:rsid w:val="00DC4F8E"/>
    <w:rsid w:val="00DC55CB"/>
    <w:rsid w:val="00DC5F97"/>
    <w:rsid w:val="00DC624C"/>
    <w:rsid w:val="00DD0EE3"/>
    <w:rsid w:val="00DD39AE"/>
    <w:rsid w:val="00DD4E76"/>
    <w:rsid w:val="00DD529D"/>
    <w:rsid w:val="00DD66B3"/>
    <w:rsid w:val="00DD7055"/>
    <w:rsid w:val="00DE1C41"/>
    <w:rsid w:val="00DE5160"/>
    <w:rsid w:val="00DE5494"/>
    <w:rsid w:val="00DE58BD"/>
    <w:rsid w:val="00DE664B"/>
    <w:rsid w:val="00DF0E00"/>
    <w:rsid w:val="00DF14EB"/>
    <w:rsid w:val="00DF1F78"/>
    <w:rsid w:val="00DF5986"/>
    <w:rsid w:val="00DF7D46"/>
    <w:rsid w:val="00E055D2"/>
    <w:rsid w:val="00E105FF"/>
    <w:rsid w:val="00E12F07"/>
    <w:rsid w:val="00E21D51"/>
    <w:rsid w:val="00E22150"/>
    <w:rsid w:val="00E23B70"/>
    <w:rsid w:val="00E30D3A"/>
    <w:rsid w:val="00E347EC"/>
    <w:rsid w:val="00E367B3"/>
    <w:rsid w:val="00E37636"/>
    <w:rsid w:val="00E406DD"/>
    <w:rsid w:val="00E42EEC"/>
    <w:rsid w:val="00E436B6"/>
    <w:rsid w:val="00E52232"/>
    <w:rsid w:val="00E537A6"/>
    <w:rsid w:val="00E5664A"/>
    <w:rsid w:val="00E6441E"/>
    <w:rsid w:val="00E6651D"/>
    <w:rsid w:val="00E6651E"/>
    <w:rsid w:val="00E67298"/>
    <w:rsid w:val="00E67837"/>
    <w:rsid w:val="00E67926"/>
    <w:rsid w:val="00E72A64"/>
    <w:rsid w:val="00E72CDD"/>
    <w:rsid w:val="00E8007F"/>
    <w:rsid w:val="00E83AE3"/>
    <w:rsid w:val="00E83E7B"/>
    <w:rsid w:val="00E91827"/>
    <w:rsid w:val="00E965C8"/>
    <w:rsid w:val="00EB03B2"/>
    <w:rsid w:val="00EB26A7"/>
    <w:rsid w:val="00EB3B52"/>
    <w:rsid w:val="00EB59E5"/>
    <w:rsid w:val="00ED0EFA"/>
    <w:rsid w:val="00ED4539"/>
    <w:rsid w:val="00ED4E54"/>
    <w:rsid w:val="00ED6C9F"/>
    <w:rsid w:val="00ED74FC"/>
    <w:rsid w:val="00EE0C36"/>
    <w:rsid w:val="00EE3885"/>
    <w:rsid w:val="00EF0448"/>
    <w:rsid w:val="00EF2F54"/>
    <w:rsid w:val="00EF6731"/>
    <w:rsid w:val="00EF6D7B"/>
    <w:rsid w:val="00EF6E8B"/>
    <w:rsid w:val="00EF723A"/>
    <w:rsid w:val="00F022E3"/>
    <w:rsid w:val="00F11CA4"/>
    <w:rsid w:val="00F12D4C"/>
    <w:rsid w:val="00F15BF1"/>
    <w:rsid w:val="00F21697"/>
    <w:rsid w:val="00F23F74"/>
    <w:rsid w:val="00F37262"/>
    <w:rsid w:val="00F4007C"/>
    <w:rsid w:val="00F40F26"/>
    <w:rsid w:val="00F4136E"/>
    <w:rsid w:val="00F41F33"/>
    <w:rsid w:val="00F42EDA"/>
    <w:rsid w:val="00F441B8"/>
    <w:rsid w:val="00F45402"/>
    <w:rsid w:val="00F47C54"/>
    <w:rsid w:val="00F51441"/>
    <w:rsid w:val="00F55286"/>
    <w:rsid w:val="00F565CD"/>
    <w:rsid w:val="00F60602"/>
    <w:rsid w:val="00F627CA"/>
    <w:rsid w:val="00F62FFD"/>
    <w:rsid w:val="00F6550F"/>
    <w:rsid w:val="00F66580"/>
    <w:rsid w:val="00F67372"/>
    <w:rsid w:val="00F70CC5"/>
    <w:rsid w:val="00F718D0"/>
    <w:rsid w:val="00F71A70"/>
    <w:rsid w:val="00F72C0D"/>
    <w:rsid w:val="00F73660"/>
    <w:rsid w:val="00F80A7C"/>
    <w:rsid w:val="00F80F58"/>
    <w:rsid w:val="00F834C0"/>
    <w:rsid w:val="00F83F0F"/>
    <w:rsid w:val="00F84BCE"/>
    <w:rsid w:val="00F8567E"/>
    <w:rsid w:val="00F85741"/>
    <w:rsid w:val="00F90580"/>
    <w:rsid w:val="00F90F5A"/>
    <w:rsid w:val="00F9209E"/>
    <w:rsid w:val="00F96651"/>
    <w:rsid w:val="00F96A6D"/>
    <w:rsid w:val="00FA1EEE"/>
    <w:rsid w:val="00FB090E"/>
    <w:rsid w:val="00FB245E"/>
    <w:rsid w:val="00FB39A8"/>
    <w:rsid w:val="00FB49CC"/>
    <w:rsid w:val="00FB610D"/>
    <w:rsid w:val="00FC1D0B"/>
    <w:rsid w:val="00FC3904"/>
    <w:rsid w:val="00FC3DA9"/>
    <w:rsid w:val="00FC42B4"/>
    <w:rsid w:val="00FC4C02"/>
    <w:rsid w:val="00FD53E5"/>
    <w:rsid w:val="00FD6EA0"/>
    <w:rsid w:val="00FD7964"/>
    <w:rsid w:val="00FE4880"/>
    <w:rsid w:val="00FE7B56"/>
    <w:rsid w:val="00FF0E2E"/>
    <w:rsid w:val="00FF20EB"/>
    <w:rsid w:val="00FF4807"/>
    <w:rsid w:val="00FF53DC"/>
    <w:rsid w:val="00FF5830"/>
    <w:rsid w:val="00FF5B92"/>
    <w:rsid w:val="00FF695E"/>
    <w:rsid w:val="011A3EB7"/>
    <w:rsid w:val="01A90D55"/>
    <w:rsid w:val="01D5B041"/>
    <w:rsid w:val="0233848C"/>
    <w:rsid w:val="0233F068"/>
    <w:rsid w:val="02569423"/>
    <w:rsid w:val="02597AE1"/>
    <w:rsid w:val="0269C928"/>
    <w:rsid w:val="0294B087"/>
    <w:rsid w:val="02ACD12E"/>
    <w:rsid w:val="0375A84F"/>
    <w:rsid w:val="03CAD988"/>
    <w:rsid w:val="03DB213C"/>
    <w:rsid w:val="05B6C830"/>
    <w:rsid w:val="05B8F87D"/>
    <w:rsid w:val="05BE8C3E"/>
    <w:rsid w:val="066EAE88"/>
    <w:rsid w:val="068DD43D"/>
    <w:rsid w:val="06919AE5"/>
    <w:rsid w:val="06B9D4D0"/>
    <w:rsid w:val="06DD3651"/>
    <w:rsid w:val="075298C4"/>
    <w:rsid w:val="079E7F05"/>
    <w:rsid w:val="07BCD760"/>
    <w:rsid w:val="07CF77A6"/>
    <w:rsid w:val="07D37D5D"/>
    <w:rsid w:val="081D3E0A"/>
    <w:rsid w:val="0890236F"/>
    <w:rsid w:val="08D5CB04"/>
    <w:rsid w:val="08E51373"/>
    <w:rsid w:val="090E1515"/>
    <w:rsid w:val="095D0042"/>
    <w:rsid w:val="09A34CA8"/>
    <w:rsid w:val="09A86DA1"/>
    <w:rsid w:val="09C75F06"/>
    <w:rsid w:val="0A2023FB"/>
    <w:rsid w:val="0A25FFFF"/>
    <w:rsid w:val="0A51C006"/>
    <w:rsid w:val="0A581270"/>
    <w:rsid w:val="0AA9716F"/>
    <w:rsid w:val="0AAEFC6C"/>
    <w:rsid w:val="0AB73AD4"/>
    <w:rsid w:val="0B89BA21"/>
    <w:rsid w:val="0B976E69"/>
    <w:rsid w:val="0BC7955A"/>
    <w:rsid w:val="0BED2F5B"/>
    <w:rsid w:val="0C214E4B"/>
    <w:rsid w:val="0C4A18B6"/>
    <w:rsid w:val="0CA3C89F"/>
    <w:rsid w:val="0D616D9F"/>
    <w:rsid w:val="0DDAF3F5"/>
    <w:rsid w:val="0DF3BC41"/>
    <w:rsid w:val="0E0096ED"/>
    <w:rsid w:val="0EB1C3C1"/>
    <w:rsid w:val="0EF8166E"/>
    <w:rsid w:val="0F92D19B"/>
    <w:rsid w:val="0FAFFAA4"/>
    <w:rsid w:val="0FBD704F"/>
    <w:rsid w:val="0FF6488B"/>
    <w:rsid w:val="106B6AA2"/>
    <w:rsid w:val="112DAEF0"/>
    <w:rsid w:val="11C0322F"/>
    <w:rsid w:val="11EE618A"/>
    <w:rsid w:val="12270269"/>
    <w:rsid w:val="122E616A"/>
    <w:rsid w:val="12432AFC"/>
    <w:rsid w:val="124A22F8"/>
    <w:rsid w:val="1269C3FD"/>
    <w:rsid w:val="12EB0E51"/>
    <w:rsid w:val="131E095A"/>
    <w:rsid w:val="134A867F"/>
    <w:rsid w:val="13A17D13"/>
    <w:rsid w:val="13BBBF73"/>
    <w:rsid w:val="13ED9CAD"/>
    <w:rsid w:val="147353E0"/>
    <w:rsid w:val="15B6EAF9"/>
    <w:rsid w:val="162F8797"/>
    <w:rsid w:val="1698D7AB"/>
    <w:rsid w:val="16D5E3BE"/>
    <w:rsid w:val="16E4C554"/>
    <w:rsid w:val="171AEC9D"/>
    <w:rsid w:val="1788159A"/>
    <w:rsid w:val="1797CC0C"/>
    <w:rsid w:val="179CEEDF"/>
    <w:rsid w:val="17FA39B3"/>
    <w:rsid w:val="1829DAC9"/>
    <w:rsid w:val="184C72F7"/>
    <w:rsid w:val="19130133"/>
    <w:rsid w:val="195C2B85"/>
    <w:rsid w:val="1A074E8A"/>
    <w:rsid w:val="1A0B02F7"/>
    <w:rsid w:val="1A26232C"/>
    <w:rsid w:val="1A281DBA"/>
    <w:rsid w:val="1A682B0D"/>
    <w:rsid w:val="1A73FB96"/>
    <w:rsid w:val="1ABDB853"/>
    <w:rsid w:val="1AD7980E"/>
    <w:rsid w:val="1AEC6C59"/>
    <w:rsid w:val="1B224836"/>
    <w:rsid w:val="1B394453"/>
    <w:rsid w:val="1B3B800C"/>
    <w:rsid w:val="1BDD2339"/>
    <w:rsid w:val="1C381CAD"/>
    <w:rsid w:val="1C7ADA21"/>
    <w:rsid w:val="1D1B268A"/>
    <w:rsid w:val="1D342BFD"/>
    <w:rsid w:val="1D8C41CB"/>
    <w:rsid w:val="1DF2A872"/>
    <w:rsid w:val="1DFD40AD"/>
    <w:rsid w:val="1E037CB3"/>
    <w:rsid w:val="1E03A6B3"/>
    <w:rsid w:val="1EC30C3A"/>
    <w:rsid w:val="1EC5E558"/>
    <w:rsid w:val="1F137721"/>
    <w:rsid w:val="1F445EFE"/>
    <w:rsid w:val="1FB3F273"/>
    <w:rsid w:val="1FE03B8A"/>
    <w:rsid w:val="20143EFC"/>
    <w:rsid w:val="211F83BC"/>
    <w:rsid w:val="2156D796"/>
    <w:rsid w:val="21A9B247"/>
    <w:rsid w:val="222390D4"/>
    <w:rsid w:val="223CA864"/>
    <w:rsid w:val="2242B93A"/>
    <w:rsid w:val="2287956E"/>
    <w:rsid w:val="22B9B82B"/>
    <w:rsid w:val="22BA62E7"/>
    <w:rsid w:val="2338E360"/>
    <w:rsid w:val="23541551"/>
    <w:rsid w:val="239BBFD5"/>
    <w:rsid w:val="23A7725E"/>
    <w:rsid w:val="23BC7DA5"/>
    <w:rsid w:val="23CA0602"/>
    <w:rsid w:val="23E7BBD0"/>
    <w:rsid w:val="24427886"/>
    <w:rsid w:val="24A83F52"/>
    <w:rsid w:val="24C469A4"/>
    <w:rsid w:val="250C59DA"/>
    <w:rsid w:val="254AC6F4"/>
    <w:rsid w:val="2559978D"/>
    <w:rsid w:val="256202B1"/>
    <w:rsid w:val="25950D85"/>
    <w:rsid w:val="25BC395A"/>
    <w:rsid w:val="263C3670"/>
    <w:rsid w:val="26518CA2"/>
    <w:rsid w:val="265F24FF"/>
    <w:rsid w:val="268D4704"/>
    <w:rsid w:val="26D08AE6"/>
    <w:rsid w:val="2742D3F7"/>
    <w:rsid w:val="27475952"/>
    <w:rsid w:val="281D1265"/>
    <w:rsid w:val="285336E0"/>
    <w:rsid w:val="289B5AD5"/>
    <w:rsid w:val="28C661B8"/>
    <w:rsid w:val="28EBB5CF"/>
    <w:rsid w:val="28F2BD24"/>
    <w:rsid w:val="290B7025"/>
    <w:rsid w:val="2913BAF1"/>
    <w:rsid w:val="29199DDB"/>
    <w:rsid w:val="293DAAA6"/>
    <w:rsid w:val="29BEBC4D"/>
    <w:rsid w:val="2A078E06"/>
    <w:rsid w:val="2A237CC3"/>
    <w:rsid w:val="2A2C9B83"/>
    <w:rsid w:val="2A53A6A8"/>
    <w:rsid w:val="2A82261C"/>
    <w:rsid w:val="2A9E4252"/>
    <w:rsid w:val="2AB58301"/>
    <w:rsid w:val="2AE0C975"/>
    <w:rsid w:val="2B151435"/>
    <w:rsid w:val="2BE448C6"/>
    <w:rsid w:val="2BE49547"/>
    <w:rsid w:val="2C4165C1"/>
    <w:rsid w:val="2CAA2862"/>
    <w:rsid w:val="2CD571E2"/>
    <w:rsid w:val="2D4D73CB"/>
    <w:rsid w:val="2D6D6EF1"/>
    <w:rsid w:val="2D766B9E"/>
    <w:rsid w:val="2E249614"/>
    <w:rsid w:val="2E68F4BE"/>
    <w:rsid w:val="2E9057CE"/>
    <w:rsid w:val="2F122A84"/>
    <w:rsid w:val="2FAACCF3"/>
    <w:rsid w:val="2FAB6AC2"/>
    <w:rsid w:val="2FE335F9"/>
    <w:rsid w:val="2FFB2464"/>
    <w:rsid w:val="303B0C13"/>
    <w:rsid w:val="305A881C"/>
    <w:rsid w:val="30D38E65"/>
    <w:rsid w:val="30E669BE"/>
    <w:rsid w:val="3129B6AA"/>
    <w:rsid w:val="322E1EB9"/>
    <w:rsid w:val="328EB0D9"/>
    <w:rsid w:val="332463E2"/>
    <w:rsid w:val="3327BE19"/>
    <w:rsid w:val="3344CA64"/>
    <w:rsid w:val="342AB557"/>
    <w:rsid w:val="342EE511"/>
    <w:rsid w:val="3448D28A"/>
    <w:rsid w:val="34D4A2D9"/>
    <w:rsid w:val="34EAAC06"/>
    <w:rsid w:val="350914FE"/>
    <w:rsid w:val="3564872D"/>
    <w:rsid w:val="3578A6D8"/>
    <w:rsid w:val="35E36365"/>
    <w:rsid w:val="36104416"/>
    <w:rsid w:val="361BCE75"/>
    <w:rsid w:val="361E5B36"/>
    <w:rsid w:val="3640D875"/>
    <w:rsid w:val="364CFFB4"/>
    <w:rsid w:val="36A8C488"/>
    <w:rsid w:val="36C62F82"/>
    <w:rsid w:val="3725325E"/>
    <w:rsid w:val="3755AC96"/>
    <w:rsid w:val="375DDAA7"/>
    <w:rsid w:val="37755AAD"/>
    <w:rsid w:val="37A111D4"/>
    <w:rsid w:val="37B223A4"/>
    <w:rsid w:val="37C4D8BD"/>
    <w:rsid w:val="381C653B"/>
    <w:rsid w:val="3820FBB7"/>
    <w:rsid w:val="3842F6F5"/>
    <w:rsid w:val="386D8846"/>
    <w:rsid w:val="38B7EECD"/>
    <w:rsid w:val="38E9DE01"/>
    <w:rsid w:val="392722BE"/>
    <w:rsid w:val="39427E40"/>
    <w:rsid w:val="394BA650"/>
    <w:rsid w:val="39CE8709"/>
    <w:rsid w:val="39E64246"/>
    <w:rsid w:val="3A261D92"/>
    <w:rsid w:val="3A333862"/>
    <w:rsid w:val="3A36DA25"/>
    <w:rsid w:val="3A680795"/>
    <w:rsid w:val="3A82DFF0"/>
    <w:rsid w:val="3A8632E3"/>
    <w:rsid w:val="3A998AE2"/>
    <w:rsid w:val="3AB6E95F"/>
    <w:rsid w:val="3AEF5EF0"/>
    <w:rsid w:val="3B074992"/>
    <w:rsid w:val="3B9DF429"/>
    <w:rsid w:val="3BFA3C57"/>
    <w:rsid w:val="3C0BFBAB"/>
    <w:rsid w:val="3C34F546"/>
    <w:rsid w:val="3C58C4BB"/>
    <w:rsid w:val="3C615C12"/>
    <w:rsid w:val="3C7BC88C"/>
    <w:rsid w:val="3C82782C"/>
    <w:rsid w:val="3C834E4F"/>
    <w:rsid w:val="3C87DD5F"/>
    <w:rsid w:val="3CDE3914"/>
    <w:rsid w:val="3CF6B045"/>
    <w:rsid w:val="3D401467"/>
    <w:rsid w:val="3DBA7C5D"/>
    <w:rsid w:val="3E06358F"/>
    <w:rsid w:val="3E6CD33F"/>
    <w:rsid w:val="3E985829"/>
    <w:rsid w:val="3EBF89CB"/>
    <w:rsid w:val="3EC3482C"/>
    <w:rsid w:val="3EE5BBD0"/>
    <w:rsid w:val="3F23E970"/>
    <w:rsid w:val="3F44C8D0"/>
    <w:rsid w:val="3F4A6393"/>
    <w:rsid w:val="3F4F9A35"/>
    <w:rsid w:val="4011309A"/>
    <w:rsid w:val="40146E02"/>
    <w:rsid w:val="40B60357"/>
    <w:rsid w:val="40C96760"/>
    <w:rsid w:val="41259099"/>
    <w:rsid w:val="41B500D8"/>
    <w:rsid w:val="436C201E"/>
    <w:rsid w:val="4382BD54"/>
    <w:rsid w:val="43D2817B"/>
    <w:rsid w:val="44186879"/>
    <w:rsid w:val="4456CCA1"/>
    <w:rsid w:val="44AABA8F"/>
    <w:rsid w:val="44AD95B1"/>
    <w:rsid w:val="44C88AC7"/>
    <w:rsid w:val="44C8C49F"/>
    <w:rsid w:val="44F143C9"/>
    <w:rsid w:val="44F15903"/>
    <w:rsid w:val="451F181C"/>
    <w:rsid w:val="453C0E49"/>
    <w:rsid w:val="4545D446"/>
    <w:rsid w:val="455244C5"/>
    <w:rsid w:val="457316D0"/>
    <w:rsid w:val="458B0361"/>
    <w:rsid w:val="45BAC699"/>
    <w:rsid w:val="45CC0CD9"/>
    <w:rsid w:val="4609BE44"/>
    <w:rsid w:val="46B19538"/>
    <w:rsid w:val="46F09D4B"/>
    <w:rsid w:val="47CB1746"/>
    <w:rsid w:val="47ED96B3"/>
    <w:rsid w:val="486EC98F"/>
    <w:rsid w:val="486FF168"/>
    <w:rsid w:val="48890B61"/>
    <w:rsid w:val="48BC5431"/>
    <w:rsid w:val="48F311B7"/>
    <w:rsid w:val="4907C6C6"/>
    <w:rsid w:val="4984D6FE"/>
    <w:rsid w:val="49974D4A"/>
    <w:rsid w:val="49B0271C"/>
    <w:rsid w:val="49EE19C6"/>
    <w:rsid w:val="4A53FCCA"/>
    <w:rsid w:val="4A742DEA"/>
    <w:rsid w:val="4AB49866"/>
    <w:rsid w:val="4ACF060F"/>
    <w:rsid w:val="4B0E750F"/>
    <w:rsid w:val="4B2EADB2"/>
    <w:rsid w:val="4B5B40AC"/>
    <w:rsid w:val="4B857B1A"/>
    <w:rsid w:val="4B8F7E97"/>
    <w:rsid w:val="4BB44798"/>
    <w:rsid w:val="4BB7221E"/>
    <w:rsid w:val="4BC882CD"/>
    <w:rsid w:val="4BD55EF6"/>
    <w:rsid w:val="4C49D78B"/>
    <w:rsid w:val="4D08E1BF"/>
    <w:rsid w:val="4D19C76E"/>
    <w:rsid w:val="4D3FB1CE"/>
    <w:rsid w:val="4D4CE82D"/>
    <w:rsid w:val="4DB0DA44"/>
    <w:rsid w:val="4DB6F827"/>
    <w:rsid w:val="4DB8B26A"/>
    <w:rsid w:val="4E1E662E"/>
    <w:rsid w:val="4E2EA424"/>
    <w:rsid w:val="4E421934"/>
    <w:rsid w:val="4E787EC7"/>
    <w:rsid w:val="4F081C7A"/>
    <w:rsid w:val="4F6FBB5D"/>
    <w:rsid w:val="4F963686"/>
    <w:rsid w:val="4FDED4C8"/>
    <w:rsid w:val="504A6CE9"/>
    <w:rsid w:val="5063F685"/>
    <w:rsid w:val="50E6A2C1"/>
    <w:rsid w:val="5119F372"/>
    <w:rsid w:val="51817FDE"/>
    <w:rsid w:val="520AF53E"/>
    <w:rsid w:val="5245897C"/>
    <w:rsid w:val="525B5ACF"/>
    <w:rsid w:val="52B7B8B8"/>
    <w:rsid w:val="531FFB42"/>
    <w:rsid w:val="5381F152"/>
    <w:rsid w:val="53E08A1B"/>
    <w:rsid w:val="540446F6"/>
    <w:rsid w:val="541818BC"/>
    <w:rsid w:val="541EBDFC"/>
    <w:rsid w:val="54864119"/>
    <w:rsid w:val="54D4F88E"/>
    <w:rsid w:val="54FC8E3C"/>
    <w:rsid w:val="55798E76"/>
    <w:rsid w:val="56167FE8"/>
    <w:rsid w:val="5685DD36"/>
    <w:rsid w:val="57450B7A"/>
    <w:rsid w:val="576B2598"/>
    <w:rsid w:val="5779A538"/>
    <w:rsid w:val="584CEE81"/>
    <w:rsid w:val="5880FA91"/>
    <w:rsid w:val="589E9D21"/>
    <w:rsid w:val="58AB2B39"/>
    <w:rsid w:val="58C43611"/>
    <w:rsid w:val="58CF5B0D"/>
    <w:rsid w:val="58D6FE51"/>
    <w:rsid w:val="58F91180"/>
    <w:rsid w:val="59981DAC"/>
    <w:rsid w:val="59D2B59F"/>
    <w:rsid w:val="5A1EEDA3"/>
    <w:rsid w:val="5A3A2C74"/>
    <w:rsid w:val="5A575229"/>
    <w:rsid w:val="5AC865B1"/>
    <w:rsid w:val="5ADA7D7D"/>
    <w:rsid w:val="5B73C543"/>
    <w:rsid w:val="5B7B18A1"/>
    <w:rsid w:val="5B8A0B08"/>
    <w:rsid w:val="5C62BAB0"/>
    <w:rsid w:val="5C6B3A81"/>
    <w:rsid w:val="5C8E6BEE"/>
    <w:rsid w:val="5CC1441E"/>
    <w:rsid w:val="5CE4831C"/>
    <w:rsid w:val="5CF2AC46"/>
    <w:rsid w:val="5CF7907A"/>
    <w:rsid w:val="5D5D840C"/>
    <w:rsid w:val="5D659DB0"/>
    <w:rsid w:val="5D670035"/>
    <w:rsid w:val="5F17323D"/>
    <w:rsid w:val="5F797E80"/>
    <w:rsid w:val="5FA03C7B"/>
    <w:rsid w:val="5FAD809E"/>
    <w:rsid w:val="5FC0D459"/>
    <w:rsid w:val="5FE63BBB"/>
    <w:rsid w:val="6011F106"/>
    <w:rsid w:val="60263394"/>
    <w:rsid w:val="604126C7"/>
    <w:rsid w:val="609661FE"/>
    <w:rsid w:val="60B8BFAB"/>
    <w:rsid w:val="60E7886D"/>
    <w:rsid w:val="611FE0D4"/>
    <w:rsid w:val="61493310"/>
    <w:rsid w:val="617AF5F0"/>
    <w:rsid w:val="62825CBB"/>
    <w:rsid w:val="6285B002"/>
    <w:rsid w:val="62A278E5"/>
    <w:rsid w:val="62C0FE3B"/>
    <w:rsid w:val="62FEFA65"/>
    <w:rsid w:val="6401737B"/>
    <w:rsid w:val="64101D85"/>
    <w:rsid w:val="64AA01F6"/>
    <w:rsid w:val="64F14FEE"/>
    <w:rsid w:val="6511A0C0"/>
    <w:rsid w:val="656B3FBA"/>
    <w:rsid w:val="656C7B8F"/>
    <w:rsid w:val="6575EF02"/>
    <w:rsid w:val="6578BCDF"/>
    <w:rsid w:val="660BCF06"/>
    <w:rsid w:val="66195B58"/>
    <w:rsid w:val="66A08737"/>
    <w:rsid w:val="66B8AA79"/>
    <w:rsid w:val="671D583E"/>
    <w:rsid w:val="67452557"/>
    <w:rsid w:val="67652D78"/>
    <w:rsid w:val="67786BD0"/>
    <w:rsid w:val="678BE361"/>
    <w:rsid w:val="67A89772"/>
    <w:rsid w:val="67ECF3A8"/>
    <w:rsid w:val="67F27F57"/>
    <w:rsid w:val="682BAC5F"/>
    <w:rsid w:val="684426F3"/>
    <w:rsid w:val="685927D9"/>
    <w:rsid w:val="68664FB1"/>
    <w:rsid w:val="6874A39A"/>
    <w:rsid w:val="68806C92"/>
    <w:rsid w:val="68822C35"/>
    <w:rsid w:val="68829BAD"/>
    <w:rsid w:val="68EE5C8F"/>
    <w:rsid w:val="6919F323"/>
    <w:rsid w:val="691A4316"/>
    <w:rsid w:val="693BF5BE"/>
    <w:rsid w:val="69670138"/>
    <w:rsid w:val="69DC154F"/>
    <w:rsid w:val="6A2C810A"/>
    <w:rsid w:val="6AA8C4AE"/>
    <w:rsid w:val="6B2DCC63"/>
    <w:rsid w:val="6B7115CE"/>
    <w:rsid w:val="6C216908"/>
    <w:rsid w:val="6CD546C1"/>
    <w:rsid w:val="6CDE613E"/>
    <w:rsid w:val="6CF08463"/>
    <w:rsid w:val="6DD66951"/>
    <w:rsid w:val="6E645C5D"/>
    <w:rsid w:val="6E8EC849"/>
    <w:rsid w:val="6EB6ACD2"/>
    <w:rsid w:val="6EDAA1CC"/>
    <w:rsid w:val="6F2E9D5B"/>
    <w:rsid w:val="6FA52B90"/>
    <w:rsid w:val="6FC44776"/>
    <w:rsid w:val="6FCB9CB3"/>
    <w:rsid w:val="6FDA6DEA"/>
    <w:rsid w:val="705A07C3"/>
    <w:rsid w:val="709F9273"/>
    <w:rsid w:val="71203481"/>
    <w:rsid w:val="71304FB8"/>
    <w:rsid w:val="71525EA1"/>
    <w:rsid w:val="71708B4E"/>
    <w:rsid w:val="7192EA08"/>
    <w:rsid w:val="71C0D10E"/>
    <w:rsid w:val="71D2BBCD"/>
    <w:rsid w:val="71DDA1E6"/>
    <w:rsid w:val="72203370"/>
    <w:rsid w:val="723C33F1"/>
    <w:rsid w:val="7240584A"/>
    <w:rsid w:val="72424C06"/>
    <w:rsid w:val="72907868"/>
    <w:rsid w:val="72F762A2"/>
    <w:rsid w:val="73174A31"/>
    <w:rsid w:val="735B3D3A"/>
    <w:rsid w:val="737BE5DD"/>
    <w:rsid w:val="73AA8D7A"/>
    <w:rsid w:val="73B2DCCF"/>
    <w:rsid w:val="73E57CB5"/>
    <w:rsid w:val="741B5B1D"/>
    <w:rsid w:val="74614953"/>
    <w:rsid w:val="7469074E"/>
    <w:rsid w:val="747E6224"/>
    <w:rsid w:val="749E2756"/>
    <w:rsid w:val="74D005E1"/>
    <w:rsid w:val="75B4DD44"/>
    <w:rsid w:val="75C0EF9D"/>
    <w:rsid w:val="75E44E0D"/>
    <w:rsid w:val="75F48EFD"/>
    <w:rsid w:val="7616371A"/>
    <w:rsid w:val="7654CE54"/>
    <w:rsid w:val="76992B00"/>
    <w:rsid w:val="7741E2D1"/>
    <w:rsid w:val="775AC042"/>
    <w:rsid w:val="776DB187"/>
    <w:rsid w:val="77B74727"/>
    <w:rsid w:val="77B95419"/>
    <w:rsid w:val="77CF7CD3"/>
    <w:rsid w:val="77D30EB2"/>
    <w:rsid w:val="77E919C0"/>
    <w:rsid w:val="77EBC82D"/>
    <w:rsid w:val="781A3239"/>
    <w:rsid w:val="781C5B99"/>
    <w:rsid w:val="78475679"/>
    <w:rsid w:val="78663080"/>
    <w:rsid w:val="78F29ABD"/>
    <w:rsid w:val="78F8EAEC"/>
    <w:rsid w:val="78FF233D"/>
    <w:rsid w:val="7909F4B5"/>
    <w:rsid w:val="7992F45B"/>
    <w:rsid w:val="799CB55D"/>
    <w:rsid w:val="7A07FAE3"/>
    <w:rsid w:val="7A591759"/>
    <w:rsid w:val="7A82047E"/>
    <w:rsid w:val="7A8EFE23"/>
    <w:rsid w:val="7BE7ADFC"/>
    <w:rsid w:val="7C18D6A6"/>
    <w:rsid w:val="7C752284"/>
    <w:rsid w:val="7CA69A72"/>
    <w:rsid w:val="7D0BBD76"/>
    <w:rsid w:val="7D10BBDD"/>
    <w:rsid w:val="7DD2B32D"/>
    <w:rsid w:val="7DF06AF5"/>
    <w:rsid w:val="7E14CEB3"/>
    <w:rsid w:val="7E2617EE"/>
    <w:rsid w:val="7E4E7043"/>
    <w:rsid w:val="7F34B7AE"/>
    <w:rsid w:val="7F4D2CCE"/>
    <w:rsid w:val="7F7817BE"/>
    <w:rsid w:val="7F8A4C94"/>
    <w:rsid w:val="7F8ADB2D"/>
    <w:rsid w:val="7FC46C9C"/>
    <w:rsid w:val="7FD2CB91"/>
    <w:rsid w:val="7FE4516A"/>
    <w:rsid w:val="7FE56C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DA13"/>
  <w15:docId w15:val="{CB68C2E2-3576-4D35-BB9B-525E84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62"/>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847E17"/>
    <w:pPr>
      <w:numPr>
        <w:numId w:val="23"/>
      </w:numPr>
      <w:ind w:left="720" w:hanging="720"/>
      <w:outlineLvl w:val="0"/>
    </w:pPr>
    <w:rPr>
      <w:kern w:val="28"/>
    </w:rPr>
  </w:style>
  <w:style w:type="paragraph" w:styleId="Heading2">
    <w:name w:val="heading 2"/>
    <w:basedOn w:val="Normal"/>
    <w:next w:val="Normal"/>
    <w:link w:val="Heading2Char"/>
    <w:uiPriority w:val="9"/>
    <w:qFormat/>
    <w:rsid w:val="00847E17"/>
    <w:pPr>
      <w:numPr>
        <w:ilvl w:val="1"/>
        <w:numId w:val="23"/>
      </w:numPr>
      <w:ind w:left="720" w:hanging="720"/>
      <w:outlineLvl w:val="1"/>
    </w:pPr>
  </w:style>
  <w:style w:type="paragraph" w:styleId="Heading3">
    <w:name w:val="heading 3"/>
    <w:basedOn w:val="Normal"/>
    <w:next w:val="Normal"/>
    <w:link w:val="Heading3Char"/>
    <w:uiPriority w:val="9"/>
    <w:qFormat/>
    <w:rsid w:val="00847E17"/>
    <w:pPr>
      <w:numPr>
        <w:ilvl w:val="2"/>
        <w:numId w:val="23"/>
      </w:numPr>
      <w:ind w:left="720" w:hanging="720"/>
      <w:outlineLvl w:val="2"/>
    </w:pPr>
  </w:style>
  <w:style w:type="paragraph" w:styleId="Heading4">
    <w:name w:val="heading 4"/>
    <w:basedOn w:val="Normal"/>
    <w:next w:val="Normal"/>
    <w:link w:val="Heading4Char"/>
    <w:uiPriority w:val="9"/>
    <w:qFormat/>
    <w:rsid w:val="00847E17"/>
    <w:pPr>
      <w:numPr>
        <w:ilvl w:val="3"/>
        <w:numId w:val="23"/>
      </w:numPr>
      <w:ind w:left="720" w:hanging="720"/>
      <w:outlineLvl w:val="3"/>
    </w:pPr>
  </w:style>
  <w:style w:type="paragraph" w:styleId="Heading5">
    <w:name w:val="heading 5"/>
    <w:basedOn w:val="Normal"/>
    <w:next w:val="Normal"/>
    <w:link w:val="Heading5Char"/>
    <w:uiPriority w:val="9"/>
    <w:qFormat/>
    <w:rsid w:val="00847E17"/>
    <w:pPr>
      <w:numPr>
        <w:ilvl w:val="4"/>
        <w:numId w:val="23"/>
      </w:numPr>
      <w:ind w:left="720" w:hanging="720"/>
      <w:outlineLvl w:val="4"/>
    </w:pPr>
  </w:style>
  <w:style w:type="paragraph" w:styleId="Heading6">
    <w:name w:val="heading 6"/>
    <w:basedOn w:val="Normal"/>
    <w:next w:val="Normal"/>
    <w:link w:val="Heading6Char"/>
    <w:uiPriority w:val="9"/>
    <w:qFormat/>
    <w:rsid w:val="00847E17"/>
    <w:pPr>
      <w:numPr>
        <w:ilvl w:val="5"/>
        <w:numId w:val="23"/>
      </w:numPr>
      <w:ind w:left="720" w:hanging="720"/>
      <w:outlineLvl w:val="5"/>
    </w:pPr>
  </w:style>
  <w:style w:type="paragraph" w:styleId="Heading7">
    <w:name w:val="heading 7"/>
    <w:basedOn w:val="Normal"/>
    <w:next w:val="Normal"/>
    <w:link w:val="Heading7Char"/>
    <w:uiPriority w:val="9"/>
    <w:qFormat/>
    <w:rsid w:val="00847E17"/>
    <w:pPr>
      <w:numPr>
        <w:ilvl w:val="6"/>
        <w:numId w:val="23"/>
      </w:numPr>
      <w:ind w:left="720" w:hanging="720"/>
      <w:outlineLvl w:val="6"/>
    </w:pPr>
  </w:style>
  <w:style w:type="paragraph" w:styleId="Heading8">
    <w:name w:val="heading 8"/>
    <w:basedOn w:val="Normal"/>
    <w:next w:val="Normal"/>
    <w:link w:val="Heading8Char"/>
    <w:uiPriority w:val="9"/>
    <w:qFormat/>
    <w:rsid w:val="00847E17"/>
    <w:pPr>
      <w:numPr>
        <w:ilvl w:val="7"/>
        <w:numId w:val="23"/>
      </w:numPr>
      <w:ind w:left="720" w:hanging="720"/>
      <w:outlineLvl w:val="7"/>
    </w:pPr>
  </w:style>
  <w:style w:type="paragraph" w:styleId="Heading9">
    <w:name w:val="heading 9"/>
    <w:basedOn w:val="Normal"/>
    <w:next w:val="Normal"/>
    <w:link w:val="Heading9Char"/>
    <w:uiPriority w:val="9"/>
    <w:qFormat/>
    <w:rsid w:val="00847E17"/>
    <w:pPr>
      <w:numPr>
        <w:ilvl w:val="8"/>
        <w:numId w:val="23"/>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qFormat/>
    <w:rsid w:val="00847E17"/>
  </w:style>
  <w:style w:type="character" w:customStyle="1" w:styleId="FooterChar">
    <w:name w:val="Footer Char"/>
    <w:basedOn w:val="DefaultParagraphFont"/>
    <w:link w:val="Footer"/>
    <w:rsid w:val="009D66A8"/>
    <w:rPr>
      <w:sz w:val="22"/>
      <w:lang w:val="en-GB"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en-GB"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952ACE"/>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455B0"/>
    <w:rPr>
      <w:sz w:val="22"/>
      <w:lang w:val="en-GB" w:eastAsia="en-US"/>
    </w:rPr>
  </w:style>
  <w:style w:type="paragraph" w:customStyle="1" w:styleId="Default">
    <w:name w:val="Default"/>
    <w:rsid w:val="00F11CA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ustomXml" Target="../customXml/item1.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ustomXml" Target="../customXml/item4.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3.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5EA9439C421D4BA62BACC90EDDABEA" ma:contentTypeVersion="4" ma:contentTypeDescription="Defines the documents for Document Manager V2" ma:contentTypeScope="" ma:versionID="b144b6f9c10306d67a2d25d107273fad">
  <xsd:schema xmlns:xsd="http://www.w3.org/2001/XMLSchema" xmlns:xs="http://www.w3.org/2001/XMLSchema" xmlns:p="http://schemas.microsoft.com/office/2006/metadata/properties" xmlns:ns2="9a374663-1dfe-4dc2-a588-c58c3844eeda" xmlns:ns3="http://schemas.microsoft.com/sharepoint/v3/fields" xmlns:ns4="84fcec90-af08-4d37-ac46-21429fac551b" targetNamespace="http://schemas.microsoft.com/office/2006/metadata/properties" ma:root="true" ma:fieldsID="25925d6cf74669e7c7a25e175c7a9d5c" ns2:_="" ns3:_="" ns4:_="">
    <xsd:import namespace="9a374663-1dfe-4dc2-a588-c58c3844eeda"/>
    <xsd:import namespace="http://schemas.microsoft.com/sharepoint/v3/fields"/>
    <xsd:import namespace="84fcec90-af08-4d37-ac46-21429fac551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74663-1dfe-4dc2-a588-c58c3844ee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2e134b8f-48ae-44ea-99f5-ad3e1f81c02d}" ma:internalName="TaxCatchAll" ma:showField="CatchAllData" ma:web="9a374663-1dfe-4dc2-a588-c58c3844eeda">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e134b8f-48ae-44ea-99f5-ad3e1f81c02d}" ma:internalName="TaxCatchAllLabel" ma:readOnly="true" ma:showField="CatchAllDataLabel" ma:web="9a374663-1dfe-4dc2-a588-c58c3844eeda">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cec90-af08-4d37-ac46-21429fac551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a374663-1dfe-4dc2-a588-c58c3844eeda">VAQWXHKVTXAD-775084071-6461</_dlc_DocId>
    <_dlc_DocIdUrl xmlns="9a374663-1dfe-4dc2-a588-c58c3844eeda">
      <Url>http://dm/cor/2026/_layouts/15/DocIdRedir.aspx?ID=VAQWXHKVTXAD-775084071-6461</Url>
      <Description>VAQWXHKVTXAD-775084071-6461</Description>
    </_dlc_DocIdUrl>
    <Procedure xmlns="9a374663-1dfe-4dc2-a588-c58c3844eeda">2026/0074(COD)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9a374663-1dfe-4dc2-a588-c58c3844eeda">2026-07-10T12:00:00+00:00</ProductionDate>
    <FicheYear xmlns="9a374663-1dfe-4dc2-a588-c58c3844eeda" xsi:nil="true"/>
    <DocumentNumber xmlns="84fcec90-af08-4d37-ac46-21429fac551b">1414</DocumentNumber>
    <DossierNumber xmlns="9a374663-1dfe-4dc2-a588-c58c3844eeda">17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9a374663-1dfe-4dc2-a588-c58c3844eeda" xsi:nil="true"/>
    <TaxCatchAll xmlns="9a374663-1dfe-4dc2-a588-c58c3844eeda">
      <Value>36</Value>
      <Value>24</Value>
      <Value>97</Value>
      <Value>19</Value>
      <Value>45</Value>
      <Value>89</Value>
      <Value>8</Value>
      <Value>7</Value>
      <Value>5</Value>
      <Value>4</Value>
      <Value>39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9a374663-1dfe-4dc2-a588-c58c3844eeda">ANGELILLI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9a374663-1dfe-4dc2-a588-c58c3844eeda">2026</DocumentYear>
    <FicheNumber xmlns="9a374663-1dfe-4dc2-a588-c58c3844eeda">305523</FicheNumber>
    <OriginalSender xmlns="9a374663-1dfe-4dc2-a588-c58c3844eeda">
      <UserInfo>
        <DisplayName>TDriveSVCUserProd</DisplayName>
        <AccountId>1262</AccountId>
        <AccountType/>
      </UserInfo>
    </OriginalSender>
    <DocumentPart xmlns="9a374663-1dfe-4dc2-a588-c58c3844eeda">0</DocumentPart>
    <AdoptionDate xmlns="9a374663-1dfe-4dc2-a588-c58c3844eeda">2026-07-02T12:00:00+00:00</AdoptionDate>
    <RequestingService xmlns="9a374663-1dfe-4dc2-a588-c58c3844eeda">Commission ECON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4fcec90-af08-4d37-ac46-21429fac551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ECON-VIII</TermName>
          <TermId xmlns="http://schemas.microsoft.com/office/infopath/2007/PartnerControls">7e7a5f05-7bda-4651-9df4-39a72cb65aff</TermId>
        </TermInfo>
      </Terms>
    </DossierName_0>
    <DocumentVersion xmlns="9a374663-1dfe-4dc2-a588-c58c3844eeda">1</DocumentVersion>
  </documentManagement>
</p:properties>
</file>

<file path=customXml/itemProps1.xml><?xml version="1.0" encoding="utf-8"?>
<ds:datastoreItem xmlns:ds="http://schemas.openxmlformats.org/officeDocument/2006/customXml" ds:itemID="{B322E98A-3EC6-4A98-B256-D787E2858622}"/>
</file>

<file path=customXml/itemProps2.xml><?xml version="1.0" encoding="utf-8"?>
<ds:datastoreItem xmlns:ds="http://schemas.openxmlformats.org/officeDocument/2006/customXml" ds:itemID="{458E3C3C-8B74-43F7-B4B3-AC10CC133E44}"/>
</file>

<file path=customXml/itemProps3.xml><?xml version="1.0" encoding="utf-8"?>
<ds:datastoreItem xmlns:ds="http://schemas.openxmlformats.org/officeDocument/2006/customXml" ds:itemID="{A550012C-5853-4B44-AA12-7CE526D6A575}"/>
</file>

<file path=customXml/itemProps4.xml><?xml version="1.0" encoding="utf-8"?>
<ds:datastoreItem xmlns:ds="http://schemas.openxmlformats.org/officeDocument/2006/customXml" ds:itemID="{94E0A56E-2614-4C0C-AC64-3C539DAA3646}"/>
</file>

<file path=docMetadata/LabelInfo.xml><?xml version="1.0" encoding="utf-8"?>
<clbl:labelList xmlns:clbl="http://schemas.microsoft.com/office/2020/mipLabelMetadata">
  <clbl:label id="{40efc828-a9b4-45ec-a6c4-7b447404ac6b}" enabled="1" method="Standard" siteId="{01a4edc0-c130-4e09-bfd4-7b7de34700e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7687</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The "EU Inc." Corporate Legal Framework</vt:lpstr>
    </vt:vector>
  </TitlesOfParts>
  <Company>CESE-CdR</Company>
  <LinksUpToDate>false</LinksUpToDate>
  <CharactersWithSpaces>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"EU Inc." Corporate Legal Framework</dc:title>
  <dc:subject>Committee opinion</dc:subject>
  <dc:creator>Mondelaers Rafael</dc:creator>
  <cp:keywords>COR-2026-01414-00-01-AC-TRA-EN</cp:keywords>
  <dc:description>Rapporteur: - ANGELILLI Original language: - EN Date of document: - 10/07/2026 Date of meeting: -  External documents: - SWD(2026)321 Administrator responsible: - M. ZAJACZKOWSKI Piotr Pawel</dc:description>
  <cp:lastModifiedBy>TDriveSVCUserProd</cp:lastModifiedBy>
  <cp:revision>6</cp:revision>
  <cp:lastPrinted>2007-01-10T01:43:00Z</cp:lastPrinted>
  <dcterms:created xsi:type="dcterms:W3CDTF">2026-07-10T14:49:00Z</dcterms:created>
  <dcterms:modified xsi:type="dcterms:W3CDTF">2026-07-10T14:51:00Z</dcterms:modified>
  <cp:category>ECON-VIII/17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10/07/2026, 09/07/2026, 19/06/2026, 19/06/2026, 28/11/2025, 21/06/2024</vt:lpwstr>
  </property>
  <property fmtid="{D5CDD505-2E9C-101B-9397-08002B2CF9AE}" pid="4" name="Pref_Time">
    <vt:lpwstr>16:49:33, 10:42:57, 16:50:38, 15:24:33, 13:28:07, 12:40:47</vt:lpwstr>
  </property>
  <property fmtid="{D5CDD505-2E9C-101B-9397-08002B2CF9AE}" pid="5" name="Pref_User">
    <vt:lpwstr>amett, amett, amett, amett, amett, enied</vt:lpwstr>
  </property>
  <property fmtid="{D5CDD505-2E9C-101B-9397-08002B2CF9AE}" pid="6" name="Pref_FileName">
    <vt:lpwstr>COR-2026-01414-00-01-AC-ORI.docx, COR-2026-01414-00-00-AC-TRA-EN-CRR.docx, COR-2026-01414-00-00-PAC-TRA-EN-CRR_ms.docx, COR-2026-01414-00-00-PAC-TRA-EN-CRR.docx, COR-2025-03963-00-00-PAC-TRA-EN-CRR.docx, COR-EESC-2024-02227-03-00-TCD-ORI.docx</vt:lpwstr>
  </property>
  <property fmtid="{D5CDD505-2E9C-101B-9397-08002B2CF9AE}" pid="7" name="ContentTypeId">
    <vt:lpwstr>0x010100EA97B91038054C99906057A708A1480A00C35EA9439C421D4BA62BACC90EDDABEA</vt:lpwstr>
  </property>
  <property fmtid="{D5CDD505-2E9C-101B-9397-08002B2CF9AE}" pid="8" name="_dlc_DocIdItemGuid">
    <vt:lpwstr>c07c3ae5-8851-4ad4-972e-67bbc2d0ee08</vt:lpwstr>
  </property>
  <property fmtid="{D5CDD505-2E9C-101B-9397-08002B2CF9AE}" pid="9" name="Procedure">
    <vt:lpwstr>2026/0074(COD)</vt:lpwstr>
  </property>
  <property fmtid="{D5CDD505-2E9C-101B-9397-08002B2CF9AE}" pid="10" name="AvailableTranslations">
    <vt:lpwstr>39;#ES|e7a6b05b-ae16-40c8-add9-68b64b03aeba;#4;#EN|f2175f21-25d7-44a3-96da-d6a61b075e1b;#24;#IT|0774613c-01ed-4e5d-a25d-11d2388de825;#45;#DA|5d49c027-8956-412b-aa16-e85a0f96ad0e;#19;#SK|46d9fce0-ef79-4f71-b89b-cd6aa82426b8;#36;#CS|72f9705b-0217-4fd3-bea2-cbc7ed80e26e</vt:lpwstr>
  </property>
  <property fmtid="{D5CDD505-2E9C-101B-9397-08002B2CF9AE}" pid="11" name="DocumentType_0">
    <vt:lpwstr>AC|a4cc1d15-fb08-4679-ad46-e4e0cba5fe92</vt:lpwstr>
  </property>
  <property fmtid="{D5CDD505-2E9C-101B-9397-08002B2CF9AE}" pid="12" name="DossierName_0">
    <vt:lpwstr>ECON-VIII|7e7a5f05-7bda-4651-9df4-39a72cb65aff</vt:lpwstr>
  </property>
  <property fmtid="{D5CDD505-2E9C-101B-9397-08002B2CF9AE}" pid="13" name="DocumentSource_0">
    <vt:lpwstr>CoR|cb2d75ef-4a7d-4393-b797-49ed6298a5ea</vt:lpwstr>
  </property>
  <property fmtid="{D5CDD505-2E9C-101B-9397-08002B2CF9AE}" pid="14" name="DocumentNumber">
    <vt:i4>1414</vt:i4>
  </property>
  <property fmtid="{D5CDD505-2E9C-101B-9397-08002B2CF9AE}" pid="15" name="FicheYear">
    <vt:i4>2026</vt:i4>
  </property>
  <property fmtid="{D5CDD505-2E9C-101B-9397-08002B2CF9AE}" pid="16" name="DocumentVersion">
    <vt:i4>1</vt:i4>
  </property>
  <property fmtid="{D5CDD505-2E9C-101B-9397-08002B2CF9AE}" pid="17" name="DossierNumber">
    <vt:i4>17</vt:i4>
  </property>
  <property fmtid="{D5CDD505-2E9C-101B-9397-08002B2CF9AE}" pid="18" name="DocumentStatus">
    <vt:lpwstr>8;#TRA|150d2a88-1431-44e6-a8ca-0bb753ab8672</vt:lpwstr>
  </property>
  <property fmtid="{D5CDD505-2E9C-101B-9397-08002B2CF9AE}" pid="19" name="DossierName">
    <vt:lpwstr>97;#ECON-VIII|7e7a5f05-7bda-4651-9df4-39a72cb65aff</vt:lpwstr>
  </property>
  <property fmtid="{D5CDD505-2E9C-101B-9397-08002B2CF9AE}" pid="20" name="RequestingService">
    <vt:lpwstr>Commission ECON</vt:lpwstr>
  </property>
  <property fmtid="{D5CDD505-2E9C-101B-9397-08002B2CF9AE}" pid="21" name="Confidentiality">
    <vt:lpwstr>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89;#AC|a4cc1d15-fb08-4679-ad46-e4e0cba5fe92;#97;#ECON-VIII|7e7a5f05-7bda-4651-9df4-39a72cb65aff;#8;#TRA|150d2a88-1431-44e6-a8ca-0bb753ab8672;#7;#Final|ea5e6674-7b27-4bac-b091-73adbb394efe;#5;#Unrestricted|826e22d7-d029-4ec0-a450-0c28ff673572;#4;#EN|f2175f21-25d7-44a3-96da-d6a61b075e1b;#1;#CoR|cb2d75ef-4a7d-4393-b797-49ed6298a5ea</vt:lpwstr>
  </property>
  <property fmtid="{D5CDD505-2E9C-101B-9397-08002B2CF9AE}" pid="31" name="Rapporteur">
    <vt:lpwstr>ANGELILLI</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7330</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8" name="AdoptionDate">
    <vt:filetime>2026-07-02T12:00:00Z</vt:filetime>
  </property>
  <property fmtid="{D5CDD505-2E9C-101B-9397-08002B2CF9AE}" pid="39" name="DocumentType">
    <vt:lpwstr>89;#AC|a4cc1d15-fb08-4679-ad46-e4e0cba5fe92</vt:lpwstr>
  </property>
  <property fmtid="{D5CDD505-2E9C-101B-9397-08002B2CF9AE}" pid="40" name="DocumentLanguage">
    <vt:lpwstr>4;#EN|f2175f21-25d7-44a3-96da-d6a61b075e1b</vt:lpwstr>
  </property>
  <property fmtid="{D5CDD505-2E9C-101B-9397-08002B2CF9AE}" pid="41" name="_docset_NoMedatataSyncRequired">
    <vt:lpwstr>False</vt:lpwstr>
  </property>
</Properties>
</file>