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936117" w:rsidR="009203B2" w:rsidTr="7CB7C3B7" w14:paraId="69489A4E" w14:textId="77777777">
        <w:trPr>
          <w:cantSplit/>
        </w:trPr>
        <w:tc>
          <w:tcPr>
            <w:tcW w:w="4644" w:type="dxa"/>
          </w:tcPr>
          <w:p w:rsidRPr="00936117" w:rsidR="009203B2" w:rsidP="005B4023" w:rsidRDefault="005C65CD" w14:paraId="6682C8D6" w14:textId="54A6E47A">
            <w:bookmarkStart w:name="_GoBack" w:id="0"/>
            <w:bookmarkEnd w:id="0"/>
            <w:r w:rsidRPr="00FD569D">
              <w:rPr>
                <w:noProof/>
                <w:lang w:val="en-US" w:eastAsia="en-US"/>
              </w:rPr>
              <w:drawing>
                <wp:inline distT="0" distB="0" distL="0" distR="0" wp14:anchorId="45FF9AFD" wp14:editId="4AE1D4A0">
                  <wp:extent cx="1797050" cy="1555750"/>
                  <wp:effectExtent l="0" t="0" r="0" b="6350"/>
                  <wp:docPr id="2" name="Picture 2" title="CoRLogo_EN"/>
                  <wp:cNvGraphicFramePr/>
                  <a:graphic xmlns:a="http://schemas.openxmlformats.org/drawingml/2006/main">
                    <a:graphicData uri="http://schemas.openxmlformats.org/drawingml/2006/picture">
                      <pic:pic xmlns:pic="http://schemas.openxmlformats.org/drawingml/2006/picture">
                        <pic:nvPicPr>
                          <pic:cNvPr id="2" name="Picture 2" title="CoRLogo_EN"/>
                          <pic:cNvPicPr/>
                        </pic:nvPicPr>
                        <pic:blipFill>
                          <a:blip r:embed="rId10"/>
                          <a:stretch>
                            <a:fillRect/>
                          </a:stretch>
                        </pic:blipFill>
                        <pic:spPr>
                          <a:xfrm>
                            <a:off x="0" y="0"/>
                            <a:ext cx="1797050" cy="1555750"/>
                          </a:xfrm>
                          <a:prstGeom prst="rect">
                            <a:avLst/>
                          </a:prstGeom>
                        </pic:spPr>
                      </pic:pic>
                    </a:graphicData>
                  </a:graphic>
                </wp:inline>
              </w:drawing>
            </w:r>
            <w:r w:rsidRPr="00FD569D" w:rsidR="00464C80">
              <w:rPr>
                <w:noProof/>
                <w:sz w:val="20"/>
                <w:lang w:val="en-US" w:eastAsia="en-US"/>
              </w:rPr>
              <mc:AlternateContent>
                <mc:Choice Requires="wps">
                  <w:drawing>
                    <wp:anchor distT="0" distB="0" distL="114300" distR="114300" simplePos="0" relativeHeight="251658241" behindDoc="1" locked="0" layoutInCell="0" allowOverlap="1" wp14:editId="2197FACF" wp14:anchorId="1A627FD5">
                      <wp:simplePos x="0" y="0"/>
                      <wp:positionH relativeFrom="page">
                        <wp:posOffset>6769100</wp:posOffset>
                      </wp:positionH>
                      <wp:positionV relativeFrom="page">
                        <wp:posOffset>10081260</wp:posOffset>
                      </wp:positionV>
                      <wp:extent cx="647700" cy="396240"/>
                      <wp:effectExtent l="0" t="3810" r="3175" b="0"/>
                      <wp:wrapNone/>
                      <wp:docPr id="6971709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8739FD" w:rsidRDefault="008739FD" w14:paraId="1DD805B8"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A627FD5">
                      <v:stroke joinstyle="miter"/>
                      <v:path gradientshapeok="t" o:connecttype="rect"/>
                    </v:shapetype>
                    <v:shape id="Text Box 28" style="position:absolute;left:0;text-align:left;margin-left:533pt;margin-top:793.8pt;width:51pt;height:3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4gkvAIAAMEFAAAOAAAAZHJzL2Uyb0RvYy54bWysVNtunDAQfa/Uf7D8TriE5aawVbIsVaX0&#10;IiX9AC+YxSrY1PYupFX/vWOztyQvVVsekO0Znzkzczw376a+Q3sqFRM8x/6VhxHllagZ3+b462Pp&#10;JBgpTXhNOsFpjp+owu+Wb9/cjENGA9GKrqYSAQhX2TjkuNV6yFxXVS3tiboSA+VgbITsiYat3Lq1&#10;JCOg950beF7kjkLWgxQVVQpOi9mIlxa/aWilPzeNohp1OQZu2v6l/W/M313ekGwrydCy6kCD/AWL&#10;njAOQU9QBdEE7SR7BdWzSgolGn1Vid4VTcMqanOAbHzvRTYPLRmozQWKo4ZTmdT/g60+7b9IxOoc&#10;R2nsx14aXGPESQ+teqSTRndiQkFiyjQOKgPvhwH89QTn0G6bshruRfVNIS5WLeFbeiulGFtKaqDp&#10;m5vuxdUZRxmQzfhR1BCH7LSwQFMje1NDqAoCdGjX06lFhksFh1EYxx5YKjBdp1EQ2ha6JDteHqTS&#10;76nokVnkWIICLDjZ3yttyJDs6GJicVGyrrMq6PizA3CcTyA0XDU2Q8I29WfqpetknYROGERrJ/SK&#10;wrktV6ETlX68KK6L1arwf5m4fpi1rK4pN2GOAvPDP2vgQeqzNE4SU6JjtYEzlJTcbladRHsCAi/t&#10;Z0sOlrOb+5yGLQLk8iIlH4p5F6ROGSWxE5bhwkljL3E8P71LIy9Mw6J8ntI94/TfU0JjjtNFsJi1&#10;dCb9IjfPfq9zI1nPNIyQjvU5Tk5OJDMKXPPatlYT1s3ri1IY+udSQLuPjbZ6NRKdxaqnzQQoRsQb&#10;UT+BcqUAZYEIYe7BohXyB0YjzJAcq+87IilG3QcO6k/9EPSJtN2EiziAjby0bC4thFcAlWON0bxc&#10;6XlQ7QbJti1Emt8bF7fwYhpm1XxmdXhnMCdsUoeZZgbR5d56nSfv8jcAAAD//wMAUEsDBBQABgAI&#10;AAAAIQDrVDFa3gAAAA8BAAAPAAAAZHJzL2Rvd25yZXYueG1sTE9BTsMwELwj8QdrkbhRu4iYEOJU&#10;CMQVRIFKvbnxNomI11HsNuH3bE/0NrMzmp0pV7PvxRHH2AUysFwoEEh1cB01Br4+X29yEDFZcrYP&#10;hAZ+McKqurwobeHCRB94XKdGcAjFwhpoUxoKKWPdordxEQYk1vZh9DYxHRvpRjtxuO/lrVJaetsR&#10;f2jtgM8t1j/rgzfw/bbfbu7Ue/Pis2EKs5LkH6Qx11fz0yOIhHP6N8OpPleHijvtwoFcFD1zpTWP&#10;SYyy/F6DOHmWOufbjpHOlAJZlfJ8R/UHAAD//wMAUEsBAi0AFAAGAAgAAAAhALaDOJL+AAAA4QEA&#10;ABMAAAAAAAAAAAAAAAAAAAAAAFtDb250ZW50X1R5cGVzXS54bWxQSwECLQAUAAYACAAAACEAOP0h&#10;/9YAAACUAQAACwAAAAAAAAAAAAAAAAAvAQAAX3JlbHMvLnJlbHNQSwECLQAUAAYACAAAACEAvTuI&#10;JLwCAADBBQAADgAAAAAAAAAAAAAAAAAuAgAAZHJzL2Uyb0RvYy54bWxQSwECLQAUAAYACAAAACEA&#10;61QxWt4AAAAPAQAADwAAAAAAAAAAAAAAAAAWBQAAZHJzL2Rvd25yZXYueG1sUEsFBgAAAAAEAAQA&#10;8wAAACEGAAAAAA==&#10;">
                      <v:textbox>
                        <w:txbxContent>
                          <w:p w:rsidRPr="00260E65" w:rsidR="008739FD" w:rsidRDefault="008739FD" w14:paraId="1DD805B8"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tc>
        <w:tc>
          <w:tcPr>
            <w:tcW w:w="4645" w:type="dxa"/>
          </w:tcPr>
          <w:p w:rsidRPr="00936117" w:rsidR="009203B2" w:rsidP="005B4023" w:rsidRDefault="009203B2" w14:paraId="425F9E4C" w14:textId="77777777"/>
        </w:tc>
      </w:tr>
      <w:tr w:rsidRPr="00936117" w:rsidR="009203B2" w:rsidTr="7CB7C3B7" w14:paraId="44C75282" w14:textId="77777777">
        <w:trPr>
          <w:cantSplit/>
        </w:trPr>
        <w:tc>
          <w:tcPr>
            <w:tcW w:w="9289" w:type="dxa"/>
            <w:gridSpan w:val="2"/>
          </w:tcPr>
          <w:p w:rsidRPr="00936117" w:rsidR="009203B2" w:rsidP="005B4023" w:rsidRDefault="00FE70F3" w14:paraId="2154943B" w14:textId="77777777">
            <w:pPr>
              <w:jc w:val="right"/>
              <w:rPr>
                <w:b/>
                <w:bCs/>
                <w:sz w:val="28"/>
                <w:szCs w:val="28"/>
              </w:rPr>
            </w:pPr>
            <w:r w:rsidRPr="00936117">
              <w:rPr>
                <w:b/>
                <w:sz w:val="28"/>
              </w:rPr>
              <w:t>NAT-VIII/018</w:t>
            </w:r>
          </w:p>
        </w:tc>
      </w:tr>
      <w:tr w:rsidRPr="00936117" w:rsidR="009203B2" w:rsidTr="7CB7C3B7" w14:paraId="159E6192" w14:textId="77777777">
        <w:tc>
          <w:tcPr>
            <w:tcW w:w="9289" w:type="dxa"/>
            <w:gridSpan w:val="2"/>
          </w:tcPr>
          <w:p w:rsidRPr="00936117" w:rsidR="009203B2" w:rsidP="005B4023" w:rsidRDefault="00B365B9" w14:paraId="2DB50C1C" w14:textId="3FD9CA28">
            <w:pPr>
              <w:jc w:val="center"/>
              <w:rPr>
                <w:b/>
                <w:bCs/>
                <w:sz w:val="28"/>
                <w:szCs w:val="28"/>
              </w:rPr>
            </w:pPr>
            <w:r w:rsidRPr="00936117">
              <w:rPr>
                <w:b/>
                <w:bCs/>
                <w:sz w:val="28"/>
                <w:szCs w:val="28"/>
              </w:rPr>
              <w:t>172nd plenary session</w:t>
            </w:r>
            <w:r w:rsidR="00936117">
              <w:rPr>
                <w:b/>
                <w:bCs/>
                <w:sz w:val="28"/>
                <w:szCs w:val="28"/>
              </w:rPr>
              <w:t xml:space="preserve">, </w:t>
            </w:r>
            <w:r w:rsidRPr="00936117" w:rsidR="009F5D11">
              <w:rPr>
                <w:b/>
                <w:bCs/>
                <w:sz w:val="28"/>
                <w:szCs w:val="28"/>
              </w:rPr>
              <w:t xml:space="preserve">1-2 July </w:t>
            </w:r>
            <w:r w:rsidRPr="00936117" w:rsidR="00A2517B">
              <w:rPr>
                <w:b/>
                <w:bCs/>
                <w:sz w:val="28"/>
                <w:szCs w:val="28"/>
              </w:rPr>
              <w:t>2026</w:t>
            </w:r>
          </w:p>
        </w:tc>
      </w:tr>
    </w:tbl>
    <w:p w:rsidRPr="00936117" w:rsidR="009203B2" w:rsidP="005B4023" w:rsidRDefault="009203B2" w14:paraId="7811D7E1" w14:textId="0A7AF02B"/>
    <w:p w:rsidRPr="00936117" w:rsidR="009203B2" w:rsidP="005B4023" w:rsidRDefault="002B5F97" w14:paraId="465DAA4C" w14:textId="1CEB4AE5">
      <w:pPr>
        <w:jc w:val="center"/>
        <w:rPr>
          <w:b/>
          <w:bCs/>
          <w:sz w:val="28"/>
          <w:szCs w:val="28"/>
        </w:rPr>
      </w:pPr>
      <w:r w:rsidRPr="00936117">
        <w:rPr>
          <w:b/>
          <w:sz w:val="28"/>
        </w:rPr>
        <w:t>OPINION</w:t>
      </w:r>
    </w:p>
    <w:p w:rsidRPr="00936117" w:rsidR="009203B2" w:rsidP="005B4023" w:rsidRDefault="009203B2" w14:paraId="125AF44A" w14:textId="77777777">
      <w:pPr>
        <w:rPr>
          <w:b/>
          <w:bCs/>
        </w:rPr>
      </w:pPr>
    </w:p>
    <w:p w:rsidRPr="00936117" w:rsidR="009203B2" w:rsidP="005B4023" w:rsidRDefault="00FE70F3" w14:paraId="4DE462A2" w14:textId="6A83D142">
      <w:pPr>
        <w:jc w:val="center"/>
        <w:rPr>
          <w:b/>
          <w:bCs/>
          <w:sz w:val="28"/>
          <w:szCs w:val="28"/>
        </w:rPr>
      </w:pPr>
      <w:r w:rsidRPr="00936117">
        <w:rPr>
          <w:b/>
          <w:sz w:val="28"/>
        </w:rPr>
        <w:t>2030 Consumer Agenda</w:t>
      </w:r>
    </w:p>
    <w:p w:rsidRPr="00936117" w:rsidR="009203B2" w:rsidP="005B4023" w:rsidRDefault="009203B2" w14:paraId="714E7379" w14:textId="31652BB4">
      <w:pPr>
        <w:jc w:val="lef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936117" w:rsidR="009203B2" w14:paraId="41277013" w14:textId="77777777">
        <w:tc>
          <w:tcPr>
            <w:tcW w:w="9289" w:type="dxa"/>
            <w:tcBorders>
              <w:top w:val="single" w:color="auto" w:sz="4" w:space="0"/>
              <w:bottom w:val="single" w:color="auto" w:sz="4" w:space="0"/>
            </w:tcBorders>
          </w:tcPr>
          <w:p w:rsidRPr="00936117" w:rsidR="00731466" w:rsidP="005B4023" w:rsidRDefault="00731466" w14:paraId="45B19954" w14:textId="77777777">
            <w:pPr>
              <w:overflowPunct/>
              <w:adjustRightInd/>
              <w:textAlignment w:val="auto"/>
            </w:pPr>
            <w:r w:rsidRPr="00936117">
              <w:t>THE EUROPEAN COMMITTEE OF THE REGIONS (CoR)</w:t>
            </w:r>
          </w:p>
          <w:p w:rsidRPr="00936117" w:rsidR="00731466" w:rsidP="005B4023" w:rsidRDefault="00731466" w14:paraId="4954110B" w14:textId="77777777">
            <w:pPr>
              <w:overflowPunct/>
              <w:adjustRightInd/>
              <w:textAlignment w:val="auto"/>
            </w:pPr>
          </w:p>
          <w:p w:rsidRPr="00936117" w:rsidR="00D81863" w:rsidP="005B4023" w:rsidRDefault="00D81863" w14:paraId="5787680B" w14:textId="4A460D99">
            <w:pPr>
              <w:numPr>
                <w:ilvl w:val="0"/>
                <w:numId w:val="5"/>
              </w:numPr>
              <w:tabs>
                <w:tab w:val="clear" w:pos="0"/>
              </w:tabs>
              <w:overflowPunct/>
              <w:adjustRightInd/>
              <w:textAlignment w:val="auto"/>
            </w:pPr>
            <w:r w:rsidRPr="00936117">
              <w:t xml:space="preserve">stresses that consumer policy is still an essential factor for making the EU more competitive and a key instrument to ensure that markets function smoothly; underlines that effective protection not only boosts consumer confidence, but also encourages businesses to improve product quality; </w:t>
            </w:r>
          </w:p>
          <w:p w:rsidRPr="00936117" w:rsidR="00D81863" w:rsidP="00FD569D" w:rsidRDefault="00D81863" w14:paraId="00AF40CC" w14:textId="77777777">
            <w:pPr>
              <w:overflowPunct/>
              <w:adjustRightInd/>
              <w:textAlignment w:val="auto"/>
            </w:pPr>
          </w:p>
          <w:p w:rsidRPr="00936117" w:rsidR="00D81863" w:rsidP="005B4023" w:rsidRDefault="00D81863" w14:paraId="5E557A92" w14:textId="6D57B763">
            <w:pPr>
              <w:numPr>
                <w:ilvl w:val="0"/>
                <w:numId w:val="5"/>
              </w:numPr>
              <w:tabs>
                <w:tab w:val="clear" w:pos="0"/>
              </w:tabs>
              <w:overflowPunct/>
              <w:adjustRightInd/>
              <w:textAlignment w:val="auto"/>
            </w:pPr>
            <w:r w:rsidRPr="00936117">
              <w:t>recalls that the primary objective of European consumer policy is to protect the rights and interests of consumers across the single market and should also enable businesses to take full advantage of the benefits of the single market;</w:t>
            </w:r>
          </w:p>
          <w:p w:rsidRPr="00936117" w:rsidR="00D81863" w:rsidP="00FD569D" w:rsidRDefault="00D81863" w14:paraId="104C102E" w14:textId="77777777">
            <w:pPr>
              <w:overflowPunct/>
              <w:adjustRightInd/>
              <w:textAlignment w:val="auto"/>
            </w:pPr>
          </w:p>
          <w:p w:rsidRPr="00936117" w:rsidR="00D81863" w:rsidP="005B4023" w:rsidRDefault="004A791F" w14:paraId="51156B2F" w14:textId="0A920A08">
            <w:pPr>
              <w:numPr>
                <w:ilvl w:val="0"/>
                <w:numId w:val="5"/>
              </w:numPr>
              <w:tabs>
                <w:tab w:val="clear" w:pos="0"/>
              </w:tabs>
              <w:overflowPunct/>
              <w:adjustRightInd/>
              <w:textAlignment w:val="auto"/>
            </w:pPr>
            <w:r w:rsidRPr="00936117">
              <w:t>c</w:t>
            </w:r>
            <w:r w:rsidRPr="00936117" w:rsidR="00D81863">
              <w:t>alls (…), for the market surveillance framework to be strengthened, increasing the capacity to inspect cross-border e-commerce, so that only compliant products are made available on the EU market, thus protecting European businesses from unfair competition;</w:t>
            </w:r>
          </w:p>
          <w:p w:rsidRPr="00936117" w:rsidR="00567AC4" w:rsidP="00FD569D" w:rsidRDefault="00567AC4" w14:paraId="2EB61366" w14:textId="77777777">
            <w:pPr>
              <w:overflowPunct/>
              <w:adjustRightInd/>
              <w:textAlignment w:val="auto"/>
            </w:pPr>
          </w:p>
          <w:p w:rsidRPr="00936117" w:rsidR="00731466" w:rsidP="00FD569D" w:rsidRDefault="00567AC4" w14:paraId="698E7744" w14:textId="7BB71DA4">
            <w:pPr>
              <w:numPr>
                <w:ilvl w:val="0"/>
                <w:numId w:val="5"/>
              </w:numPr>
              <w:tabs>
                <w:tab w:val="clear" w:pos="0"/>
              </w:tabs>
              <w:overflowPunct/>
              <w:adjustRightInd/>
              <w:textAlignment w:val="auto"/>
            </w:pPr>
            <w:r w:rsidRPr="00936117">
              <w:t>encourages the promotion of repair, reuse, secondary markets and local circularity initiatives. To enable businesses to further innovate on circular and no-waste models and sectors, the public sector shall create the appropriate supportive framework conditions; including local products, community markets and short supply chains that retain added value within territories, particularly in rural and less developed regions, while ensuring administrative simplification for local producers</w:t>
            </w:r>
            <w:r w:rsidR="00936117">
              <w:t>.</w:t>
            </w:r>
          </w:p>
          <w:p w:rsidRPr="00936117" w:rsidR="009203B2" w:rsidP="005B4023" w:rsidRDefault="009203B2" w14:paraId="69B0DD52" w14:textId="70468983">
            <w:pPr>
              <w:rPr>
                <w:bCs/>
                <w:iCs/>
              </w:rPr>
            </w:pPr>
          </w:p>
        </w:tc>
      </w:tr>
    </w:tbl>
    <w:p w:rsidRPr="00936117" w:rsidR="009203B2" w:rsidP="005B4023" w:rsidRDefault="00FE70F3" w14:paraId="1AC1BB42" w14:textId="5D16631F">
      <w:r w:rsidRPr="00FD569D">
        <w:rPr>
          <w:noProof/>
          <w:lang w:val="en-US" w:eastAsia="en-US"/>
        </w:rPr>
        <w:drawing>
          <wp:anchor distT="0" distB="0" distL="114300" distR="114300" simplePos="0" relativeHeight="251658240" behindDoc="0" locked="0" layoutInCell="1" allowOverlap="1" wp14:editId="0AA37BEA" wp14:anchorId="12DB85AA">
            <wp:simplePos x="0" y="0"/>
            <wp:positionH relativeFrom="column">
              <wp:posOffset>-54107</wp:posOffset>
            </wp:positionH>
            <wp:positionV relativeFrom="page">
              <wp:posOffset>10216966</wp:posOffset>
            </wp:positionV>
            <wp:extent cx="5759450" cy="272415"/>
            <wp:effectExtent l="0" t="0" r="0" b="0"/>
            <wp:wrapSquare wrapText="bothSides"/>
            <wp:docPr id="1" name="Zdjęc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jęcie 1"/>
                    <pic:cNvPicPr/>
                  </pic:nvPicPr>
                  <pic:blipFill>
                    <a:blip r:embed="rId11"/>
                    <a:stretch>
                      <a:fillRect/>
                    </a:stretch>
                  </pic:blipFill>
                  <pic:spPr>
                    <a:xfrm>
                      <a:off x="0" y="0"/>
                      <a:ext cx="5759450" cy="272415"/>
                    </a:xfrm>
                    <a:prstGeom prst="rect">
                      <a:avLst/>
                    </a:prstGeom>
                  </pic:spPr>
                </pic:pic>
              </a:graphicData>
            </a:graphic>
            <wp14:sizeRelH relativeFrom="margin">
              <wp14:pctWidth>0</wp14:pctWidth>
            </wp14:sizeRelH>
            <wp14:sizeRelV relativeFrom="margin">
              <wp14:pctHeight>0</wp14:pctHeight>
            </wp14:sizeRelV>
          </wp:anchor>
        </w:drawing>
      </w:r>
    </w:p>
    <w:p w:rsidRPr="00936117" w:rsidR="009203B2" w:rsidP="005B4023" w:rsidRDefault="009203B2" w14:paraId="15398C13" w14:textId="77777777">
      <w:pPr>
        <w:tabs>
          <w:tab w:val="left" w:pos="440"/>
        </w:tabs>
        <w:ind w:left="440" w:hanging="440"/>
        <w:sectPr w:rsidRPr="00936117" w:rsidR="009203B2" w:rsidSect="005B4023">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pPr>
    </w:p>
    <w:tbl>
      <w:tblPr>
        <w:tblW w:w="9289" w:type="dxa"/>
        <w:tblLayout w:type="fixed"/>
        <w:tblLook w:val="01E0" w:firstRow="1" w:lastRow="1" w:firstColumn="1" w:lastColumn="1" w:noHBand="0" w:noVBand="0"/>
      </w:tblPr>
      <w:tblGrid>
        <w:gridCol w:w="9289"/>
      </w:tblGrid>
      <w:tr w:rsidRPr="00936117" w:rsidR="00A2517B" w:rsidTr="00DC02E2" w14:paraId="02826EE7" w14:textId="77777777">
        <w:trPr>
          <w:trHeight w:val="12474"/>
        </w:trPr>
        <w:tc>
          <w:tcPr>
            <w:tcW w:w="9289" w:type="dxa"/>
            <w:vAlign w:val="bottom"/>
          </w:tcPr>
          <w:p w:rsidR="00936117" w:rsidP="005B4023" w:rsidRDefault="00F35F98" w14:paraId="7B6CE0C5" w14:textId="2E97EE7D">
            <w:r w:rsidRPr="00FD569D">
              <w:rPr>
                <w:b/>
                <w:bCs/>
              </w:rPr>
              <w:lastRenderedPageBreak/>
              <w:t>Rapporteur:</w:t>
            </w:r>
          </w:p>
          <w:p w:rsidR="00936117" w:rsidP="005B4023" w:rsidRDefault="00936117" w14:paraId="7EAD2658" w14:textId="77777777"/>
          <w:p w:rsidRPr="005B4023" w:rsidR="00F35F98" w:rsidP="005B4023" w:rsidRDefault="00F35F98" w14:paraId="602A43DA" w14:textId="015EFB95">
            <w:pPr>
              <w:rPr>
                <w:b/>
                <w:lang w:val="pl-PL"/>
              </w:rPr>
            </w:pPr>
            <w:r w:rsidRPr="00FD569D">
              <w:rPr>
                <w:bCs/>
                <w:lang w:val="pl-PL"/>
              </w:rPr>
              <w:t>Adam CISZKOWSKI (PL/ECR)</w:t>
            </w:r>
            <w:r w:rsidRPr="005B4023">
              <w:rPr>
                <w:bCs/>
                <w:lang w:val="pl-PL"/>
              </w:rPr>
              <w:t>,</w:t>
            </w:r>
            <w:r w:rsidRPr="005B4023">
              <w:rPr>
                <w:lang w:val="pl-PL"/>
              </w:rPr>
              <w:t xml:space="preserve"> Mayor of Halinów</w:t>
            </w:r>
          </w:p>
          <w:p w:rsidRPr="005B4023" w:rsidR="00F35F98" w:rsidP="005B4023" w:rsidRDefault="00F35F98" w14:paraId="58344B4F" w14:textId="77777777">
            <w:pPr>
              <w:rPr>
                <w:b/>
                <w:lang w:val="pl-PL"/>
              </w:rPr>
            </w:pPr>
          </w:p>
          <w:p w:rsidRPr="00936117" w:rsidR="00A2517B" w:rsidP="005B4023" w:rsidRDefault="00A2517B" w14:paraId="4D2B993C" w14:textId="0F34615E">
            <w:pPr>
              <w:rPr>
                <w:b/>
              </w:rPr>
            </w:pPr>
            <w:r w:rsidRPr="00936117">
              <w:rPr>
                <w:b/>
              </w:rPr>
              <w:t>Reference document</w:t>
            </w:r>
            <w:r w:rsidR="00936117">
              <w:rPr>
                <w:b/>
              </w:rPr>
              <w:t>:</w:t>
            </w:r>
          </w:p>
          <w:p w:rsidRPr="00936117" w:rsidR="002B1548" w:rsidP="005B4023" w:rsidRDefault="002B1548" w14:paraId="28DA1A51" w14:textId="77777777">
            <w:pPr>
              <w:rPr>
                <w:b/>
                <w:bCs/>
              </w:rPr>
            </w:pPr>
          </w:p>
          <w:p w:rsidRPr="00936117" w:rsidR="00A2517B" w:rsidP="005B4023" w:rsidRDefault="00464C80" w14:paraId="1CA26B24" w14:textId="7F75CC24">
            <w:r w:rsidRPr="00936117">
              <w:t>Communication from the Commission to the European Parliament, the Council, the European Economic and Social Committee and the Committee of the Regions 2030 Consumer Agenda and action plan for consumers in the single market ‘A new impulse for consumer protection, competitiveness and sustainable growth’</w:t>
            </w:r>
          </w:p>
          <w:p w:rsidRPr="00936117" w:rsidR="00A2517B" w:rsidP="005B4023" w:rsidRDefault="004E4BD7" w14:paraId="5E83D4AA" w14:textId="33E62226">
            <w:hyperlink w:history="1" r:id="rId18">
              <w:r w:rsidRPr="00936117" w:rsidR="00A2517B">
                <w:rPr>
                  <w:rStyle w:val="Hyperlink"/>
                </w:rPr>
                <w:t>COM(2025) 848 final</w:t>
              </w:r>
            </w:hyperlink>
          </w:p>
        </w:tc>
      </w:tr>
    </w:tbl>
    <w:p w:rsidRPr="00936117" w:rsidR="00374974" w:rsidP="005B4023" w:rsidRDefault="00374974" w14:paraId="5A0FDCF7" w14:textId="189A25EA">
      <w:pPr>
        <w:rPr>
          <w:b/>
          <w:bCs/>
          <w:szCs w:val="22"/>
          <w:u w:val="single"/>
        </w:rPr>
      </w:pPr>
    </w:p>
    <w:p w:rsidRPr="00936117" w:rsidR="001C6A6B" w:rsidP="005B4023" w:rsidRDefault="001C6A6B" w14:paraId="57F4E5AA" w14:textId="3084A9A5">
      <w:pPr>
        <w:overflowPunct/>
        <w:autoSpaceDE/>
        <w:autoSpaceDN/>
        <w:adjustRightInd/>
        <w:jc w:val="left"/>
        <w:textAlignment w:val="auto"/>
        <w:rPr>
          <w:b/>
          <w:bCs/>
          <w:szCs w:val="22"/>
        </w:rPr>
      </w:pPr>
      <w:r w:rsidRPr="00936117">
        <w:br w:type="page"/>
      </w:r>
    </w:p>
    <w:p w:rsidRPr="00936117" w:rsidR="00374974" w:rsidP="005B4023" w:rsidRDefault="006C1477" w14:paraId="7F7D2657" w14:textId="1EB8ED4A">
      <w:pPr>
        <w:jc w:val="center"/>
        <w:rPr>
          <w:b/>
          <w:bCs/>
          <w:szCs w:val="22"/>
        </w:rPr>
      </w:pPr>
      <w:r w:rsidRPr="00936117">
        <w:rPr>
          <w:b/>
        </w:rPr>
        <w:t>O</w:t>
      </w:r>
      <w:r w:rsidRPr="00936117" w:rsidR="00374974">
        <w:rPr>
          <w:b/>
        </w:rPr>
        <w:t xml:space="preserve">pinion of the </w:t>
      </w:r>
      <w:r w:rsidRPr="00936117" w:rsidR="00B365B9">
        <w:rPr>
          <w:b/>
          <w:bCs/>
        </w:rPr>
        <w:t>European Committee of the</w:t>
      </w:r>
      <w:r w:rsidRPr="00936117" w:rsidR="000B1166">
        <w:rPr>
          <w:b/>
          <w:bCs/>
        </w:rPr>
        <w:t xml:space="preserve"> </w:t>
      </w:r>
      <w:r w:rsidRPr="00936117" w:rsidR="00B365B9">
        <w:rPr>
          <w:b/>
          <w:bCs/>
        </w:rPr>
        <w:t>Regions</w:t>
      </w:r>
      <w:r w:rsidRPr="00936117" w:rsidR="00374974">
        <w:rPr>
          <w:b/>
        </w:rPr>
        <w:t xml:space="preserve"> – 2030 Consumer Agenda</w:t>
      </w:r>
    </w:p>
    <w:p w:rsidRPr="00936117" w:rsidR="00374974" w:rsidP="00FD569D" w:rsidRDefault="00374974" w14:paraId="68FED40F" w14:textId="77777777">
      <w:pPr>
        <w:ind w:left="567"/>
        <w:rPr>
          <w:bCs/>
          <w:szCs w:val="22"/>
        </w:rPr>
      </w:pPr>
    </w:p>
    <w:p w:rsidRPr="00936117" w:rsidR="00374974" w:rsidP="005B4023" w:rsidRDefault="00374974" w14:paraId="744192AC" w14:textId="77777777">
      <w:pPr>
        <w:numPr>
          <w:ilvl w:val="0"/>
          <w:numId w:val="13"/>
        </w:numPr>
        <w:overflowPunct/>
        <w:autoSpaceDE/>
        <w:autoSpaceDN/>
        <w:adjustRightInd/>
        <w:ind w:left="567" w:hanging="567"/>
        <w:textAlignment w:val="auto"/>
        <w:rPr>
          <w:b/>
        </w:rPr>
      </w:pPr>
      <w:r w:rsidRPr="00936117">
        <w:rPr>
          <w:b/>
        </w:rPr>
        <w:t>POLICY RECOMMENDATIONS</w:t>
      </w:r>
    </w:p>
    <w:p w:rsidRPr="00936117" w:rsidR="00374974" w:rsidP="005B4023" w:rsidRDefault="00374974" w14:paraId="12A4C30E" w14:textId="77777777"/>
    <w:p w:rsidRPr="00936117" w:rsidR="00374974" w:rsidP="005B4023" w:rsidRDefault="00374974" w14:paraId="55DB9938" w14:textId="77777777">
      <w:r w:rsidRPr="00936117">
        <w:t>THE EUROPEAN COMMITTEE OF THE REGIONS (CoR)</w:t>
      </w:r>
    </w:p>
    <w:p w:rsidRPr="00936117" w:rsidR="009203B2" w:rsidP="005B4023" w:rsidRDefault="009203B2" w14:paraId="77C332F8" w14:textId="7943CEAB">
      <w:pPr>
        <w:jc w:val="left"/>
      </w:pPr>
    </w:p>
    <w:p w:rsidRPr="00936117" w:rsidR="009058C9" w:rsidP="005B4023" w:rsidRDefault="00C156DC" w14:paraId="236C3857" w14:textId="193F2A44">
      <w:pPr>
        <w:numPr>
          <w:ilvl w:val="0"/>
          <w:numId w:val="16"/>
        </w:numPr>
        <w:tabs>
          <w:tab w:val="num" w:pos="567"/>
        </w:tabs>
        <w:suppressAutoHyphens/>
        <w:overflowPunct/>
        <w:autoSpaceDE/>
        <w:adjustRightInd/>
        <w:ind w:left="567" w:hanging="567"/>
        <w:textAlignment w:val="auto"/>
      </w:pPr>
      <w:r w:rsidRPr="00936117">
        <w:t xml:space="preserve">considers the 2030 Consumer Agenda to be a timely action plan to respond to the challenges EU citizens face in their daily lives and in a complex digital environment. These challenges include the rising cost of living, </w:t>
      </w:r>
      <w:r w:rsidRPr="00936117" w:rsidR="00D251B0">
        <w:t xml:space="preserve">financial vulnerability, housing, </w:t>
      </w:r>
      <w:r w:rsidRPr="00936117">
        <w:t>rapid growth of e-commerce and the influx of goods from outside the EU; calls, however, for existing rules to be enforced, because better implementation of existing legislation is key to ensuring consumer trust, fair competition and business certainty</w:t>
      </w:r>
      <w:r w:rsidRPr="00936117" w:rsidR="000B1166">
        <w:t>;</w:t>
      </w:r>
      <w:r w:rsidRPr="00936117" w:rsidR="00D251B0">
        <w:t xml:space="preserve"> </w:t>
      </w:r>
      <w:r w:rsidRPr="00936117" w:rsidR="000B1166">
        <w:t>a</w:t>
      </w:r>
      <w:r w:rsidRPr="00936117" w:rsidR="00D251B0">
        <w:t>dvocates, in light of new challenges facing consumers, a consumer policy that strengthens protection for vulnerable consumers and promotes education and training and will include housing and essential services among its priorities; stresses the need for genuine price and contract transparency, effective monitoring of digital markets and online product safety, protection of consumer data, action against deceptive design practices, swift and effective complaint mechanisms, and stronger coordination between administrations and enforcement authorities</w:t>
      </w:r>
      <w:r w:rsidRPr="00936117">
        <w:t>;</w:t>
      </w:r>
    </w:p>
    <w:p w:rsidRPr="00936117" w:rsidR="00C95C56" w:rsidP="00FD569D" w:rsidRDefault="00C95C56" w14:paraId="70A1ADCA" w14:textId="77777777">
      <w:pPr>
        <w:suppressAutoHyphens/>
        <w:overflowPunct/>
        <w:autoSpaceDE/>
        <w:adjustRightInd/>
        <w:textAlignment w:val="auto"/>
      </w:pPr>
    </w:p>
    <w:p w:rsidRPr="00936117" w:rsidR="001D6B24" w:rsidP="005B4023" w:rsidRDefault="00C156DC" w14:paraId="1E972FF3" w14:textId="3773FAED">
      <w:pPr>
        <w:numPr>
          <w:ilvl w:val="0"/>
          <w:numId w:val="16"/>
        </w:numPr>
        <w:tabs>
          <w:tab w:val="num" w:pos="567"/>
        </w:tabs>
        <w:suppressAutoHyphens/>
        <w:overflowPunct/>
        <w:autoSpaceDE/>
        <w:adjustRightInd/>
        <w:ind w:left="567" w:hanging="567"/>
        <w:textAlignment w:val="auto"/>
      </w:pPr>
      <w:r w:rsidRPr="00936117">
        <w:t>stresses that consumer policy is still an essential factor for making the EU more competitive and a key instrument to ensure that markets function smoothly;</w:t>
      </w:r>
      <w:r w:rsidRPr="00936117" w:rsidR="00B52B41">
        <w:t xml:space="preserve"> but above all it is an essential instrument for improving the quality of life of EU citizens, reducing risks and ensuring that markets serve the general interest;</w:t>
      </w:r>
      <w:r w:rsidRPr="00936117">
        <w:t xml:space="preserve"> underlines that effective protection not only boosts consumer confidence, but also encourages businesses to improve product quality and empowers consumers through clear and easily accessible information that allows them to make informed choices, while also fostering innovation and contributing to a more sustainable economy</w:t>
      </w:r>
      <w:r w:rsidRPr="00936117" w:rsidR="00D251B0">
        <w:t xml:space="preserve"> and addressing the structural drivers of the cost-of-living crisis</w:t>
      </w:r>
      <w:r w:rsidRPr="00936117">
        <w:t>;</w:t>
      </w:r>
    </w:p>
    <w:p w:rsidRPr="00936117" w:rsidR="001D6B24" w:rsidP="00FD569D" w:rsidRDefault="001D6B24" w14:paraId="7D764296" w14:textId="77777777">
      <w:pPr>
        <w:suppressAutoHyphens/>
        <w:overflowPunct/>
        <w:autoSpaceDE/>
        <w:adjustRightInd/>
        <w:textAlignment w:val="auto"/>
      </w:pPr>
    </w:p>
    <w:p w:rsidRPr="00936117" w:rsidR="001D6B24" w:rsidP="005B4023" w:rsidRDefault="00C156DC" w14:paraId="2737B98C" w14:textId="1D65924E">
      <w:pPr>
        <w:numPr>
          <w:ilvl w:val="0"/>
          <w:numId w:val="16"/>
        </w:numPr>
        <w:tabs>
          <w:tab w:val="num" w:pos="567"/>
        </w:tabs>
        <w:suppressAutoHyphens/>
        <w:overflowPunct/>
        <w:autoSpaceDE/>
        <w:adjustRightInd/>
        <w:ind w:left="567" w:hanging="567"/>
        <w:textAlignment w:val="auto"/>
      </w:pPr>
      <w:r w:rsidRPr="00936117">
        <w:t>regrets, however, that there is no reference to the role of local and regional authorities when in roughly half of EU countries these authorities play a significant role in consumer policy and are directly involved in legislating, implementing and/or supporting consumer protection measures alongside national governments;</w:t>
      </w:r>
      <w:r w:rsidRPr="00936117" w:rsidR="00313CCE">
        <w:t xml:space="preserve"> asks, therefore, for their involvement in the governance and monitoring of the 2030 Consumer Agenda to take place at an early stage and on a stable, structured basis;</w:t>
      </w:r>
    </w:p>
    <w:p w:rsidRPr="00936117" w:rsidR="00D251B0" w:rsidP="00FD569D" w:rsidRDefault="00D251B0" w14:paraId="1B046489" w14:textId="77777777">
      <w:pPr>
        <w:suppressAutoHyphens/>
        <w:overflowPunct/>
        <w:autoSpaceDE/>
        <w:adjustRightInd/>
        <w:textAlignment w:val="auto"/>
      </w:pPr>
    </w:p>
    <w:p w:rsidRPr="00936117" w:rsidR="001D6B24" w:rsidP="005B4023" w:rsidRDefault="00C156DC" w14:paraId="71F7C52F" w14:textId="0A96FEB3">
      <w:pPr>
        <w:numPr>
          <w:ilvl w:val="0"/>
          <w:numId w:val="16"/>
        </w:numPr>
        <w:tabs>
          <w:tab w:val="num" w:pos="567"/>
        </w:tabs>
        <w:suppressAutoHyphens/>
        <w:overflowPunct/>
        <w:autoSpaceDE/>
        <w:adjustRightInd/>
        <w:ind w:left="567" w:hanging="567"/>
        <w:textAlignment w:val="auto"/>
      </w:pPr>
      <w:r w:rsidRPr="00936117">
        <w:t>notes that European consumer policy should reflect the growing role of local and regional authorities and that the share of the existing EU budget allocated to consumer-related initiatives should be channelled directly to these authorities</w:t>
      </w:r>
      <w:r w:rsidRPr="00936117" w:rsidR="00D251B0">
        <w:t>, including through cohesion policy instruments and dedicated EU funding programmes,</w:t>
      </w:r>
      <w:r w:rsidRPr="00936117">
        <w:t xml:space="preserve"> to support them in meeting their obligations without increasing overall spending or creating new financial burdens for people;</w:t>
      </w:r>
      <w:r w:rsidRPr="00936117" w:rsidR="00C90480">
        <w:t xml:space="preserve"> also emphasises that such financial aid should prioritise locally driven projects developed by regions, local authorities and consumer organisations, in particular initiatives related to information, education, monitoring and complaint support, including through both permanent education and training programmes and the funding necessary for local and regional authorities to establish and operate advisory and monitoring bodies;</w:t>
      </w:r>
    </w:p>
    <w:p w:rsidRPr="00936117" w:rsidR="001D6B24" w:rsidP="00FD569D" w:rsidRDefault="001D6B24" w14:paraId="4C86725A" w14:textId="77777777">
      <w:pPr>
        <w:suppressAutoHyphens/>
        <w:overflowPunct/>
        <w:autoSpaceDE/>
        <w:adjustRightInd/>
        <w:textAlignment w:val="auto"/>
      </w:pPr>
    </w:p>
    <w:p w:rsidRPr="00936117" w:rsidR="001D6B24" w:rsidP="005B4023" w:rsidRDefault="001D6B24" w14:paraId="20CFAA03" w14:textId="77777777">
      <w:pPr>
        <w:keepNext/>
        <w:keepLines/>
        <w:suppressAutoHyphens/>
        <w:overflowPunct/>
        <w:autoSpaceDE/>
        <w:adjustRightInd/>
        <w:textAlignment w:val="auto"/>
      </w:pPr>
      <w:r w:rsidRPr="00936117">
        <w:rPr>
          <w:b/>
        </w:rPr>
        <w:t>Completing the single market</w:t>
      </w:r>
    </w:p>
    <w:p w:rsidRPr="00936117" w:rsidR="00CA03B6" w:rsidP="00FD569D" w:rsidRDefault="00CA03B6" w14:paraId="43C10419" w14:textId="6B99FC60">
      <w:pPr>
        <w:keepNext/>
        <w:suppressAutoHyphens/>
        <w:overflowPunct/>
        <w:autoSpaceDE/>
        <w:adjustRightInd/>
        <w:textAlignment w:val="auto"/>
      </w:pPr>
    </w:p>
    <w:p w:rsidRPr="00936117" w:rsidR="00D251B0" w:rsidP="005B4023" w:rsidRDefault="00D251B0" w14:paraId="59C1D071" w14:textId="2FF03CB7">
      <w:pPr>
        <w:numPr>
          <w:ilvl w:val="0"/>
          <w:numId w:val="16"/>
        </w:numPr>
        <w:tabs>
          <w:tab w:val="num" w:pos="567"/>
        </w:tabs>
        <w:suppressAutoHyphens/>
        <w:overflowPunct/>
        <w:autoSpaceDE/>
        <w:adjustRightInd/>
        <w:ind w:left="567" w:hanging="567"/>
        <w:textAlignment w:val="auto"/>
      </w:pPr>
      <w:r w:rsidRPr="00936117">
        <w:t>recalls that the primary objective of European consumer policy is to protect the rights and interests of consumers across the single market and should also enable businesses to take full advantage of the benefits of the single market; stresses that a genuinely competitive and well-functioning single market can only be achieved when consumers can trust that the products and services they purchase are safe, fair, sustainable and compliant with EU law, and that their rights will be effectively enforced; considers harmonisation of the consumer protection framework across Member States as a key tool to this end;</w:t>
      </w:r>
    </w:p>
    <w:p w:rsidRPr="00936117" w:rsidR="00C32555" w:rsidP="00FD569D" w:rsidRDefault="00C32555" w14:paraId="32162483" w14:textId="77777777">
      <w:pPr>
        <w:suppressAutoHyphens/>
        <w:overflowPunct/>
        <w:autoSpaceDE/>
        <w:adjustRightInd/>
        <w:textAlignment w:val="auto"/>
      </w:pPr>
    </w:p>
    <w:p w:rsidRPr="00936117" w:rsidR="001D6B24" w:rsidP="005B4023" w:rsidRDefault="00C156DC" w14:paraId="28217507" w14:textId="77268419">
      <w:pPr>
        <w:numPr>
          <w:ilvl w:val="0"/>
          <w:numId w:val="16"/>
        </w:numPr>
        <w:tabs>
          <w:tab w:val="num" w:pos="567"/>
        </w:tabs>
        <w:suppressAutoHyphens/>
        <w:overflowPunct/>
        <w:autoSpaceDE/>
        <w:adjustRightInd/>
        <w:ind w:left="567" w:hanging="567"/>
        <w:textAlignment w:val="auto"/>
      </w:pPr>
      <w:r w:rsidRPr="00936117">
        <w:t xml:space="preserve">calls for further harmonisation of rules </w:t>
      </w:r>
      <w:r w:rsidRPr="00936117" w:rsidR="00D251B0">
        <w:t>within</w:t>
      </w:r>
      <w:r w:rsidRPr="00936117">
        <w:t xml:space="preserve"> the EU single market and for </w:t>
      </w:r>
      <w:r w:rsidRPr="00936117" w:rsidR="00D251B0">
        <w:t xml:space="preserve">the removal </w:t>
      </w:r>
      <w:r w:rsidRPr="00936117" w:rsidR="007B2E50">
        <w:t xml:space="preserve">of remaining barriers to cross-border sales and for a targeted review </w:t>
      </w:r>
      <w:r w:rsidRPr="00936117" w:rsidR="00D251B0">
        <w:t xml:space="preserve">of </w:t>
      </w:r>
      <w:r w:rsidRPr="00936117" w:rsidR="00526D1D">
        <w:t xml:space="preserve">the Geo-blocking Regulation (EU) 2018/302, with a view to addressing </w:t>
      </w:r>
      <w:r w:rsidRPr="00936117">
        <w:t xml:space="preserve">remaining </w:t>
      </w:r>
      <w:r w:rsidRPr="00936117" w:rsidR="00BF1CB5">
        <w:t xml:space="preserve">unjustified territorial discrimination within the single market, while carefully assessing the potential impact of any extension of its scope to copyright-protected and audiovisual content, taking into account market realities and cultural diversity; </w:t>
      </w:r>
      <w:r w:rsidRPr="00936117">
        <w:t xml:space="preserve">stresses that </w:t>
      </w:r>
      <w:r w:rsidRPr="00936117" w:rsidR="00C32555">
        <w:t xml:space="preserve">regulatory coherence should aim to deliver a high and consistent level </w:t>
      </w:r>
      <w:r w:rsidRPr="00936117">
        <w:t xml:space="preserve">of </w:t>
      </w:r>
      <w:r w:rsidRPr="00936117" w:rsidR="00C32555">
        <w:t xml:space="preserve">consumer protection across all Member States, while simplifying compliance requirements for businesses and avoiding unnecessary administrative burdens; urges European </w:t>
      </w:r>
      <w:r w:rsidRPr="00936117">
        <w:t xml:space="preserve">policymakers to cut unnecessary red tape linked to cross-border economic activity so that European businesses, </w:t>
      </w:r>
      <w:r w:rsidRPr="00936117" w:rsidR="00C32555">
        <w:t>particularly</w:t>
      </w:r>
      <w:r w:rsidRPr="00936117">
        <w:t xml:space="preserve"> SMEs, can </w:t>
      </w:r>
      <w:r w:rsidRPr="00936117" w:rsidR="00C32555">
        <w:t xml:space="preserve">scale up </w:t>
      </w:r>
      <w:r w:rsidRPr="00936117">
        <w:t>across borders and have access to the full potential of the single market</w:t>
      </w:r>
      <w:r w:rsidRPr="00936117" w:rsidR="00C32555">
        <w:t>, without weakening enforcement or consumer rights</w:t>
      </w:r>
      <w:r w:rsidRPr="00936117">
        <w:t>;</w:t>
      </w:r>
    </w:p>
    <w:p w:rsidRPr="00936117" w:rsidR="001D6B24" w:rsidP="00FD569D" w:rsidRDefault="001D6B24" w14:paraId="7EAD1AE2" w14:textId="77777777">
      <w:pPr>
        <w:suppressAutoHyphens/>
        <w:overflowPunct/>
        <w:autoSpaceDE/>
        <w:adjustRightInd/>
        <w:textAlignment w:val="auto"/>
      </w:pPr>
    </w:p>
    <w:p w:rsidRPr="00936117" w:rsidR="001D6B24" w:rsidP="005B4023" w:rsidRDefault="00C156DC" w14:paraId="0E8A9F61" w14:textId="193B0C5B">
      <w:pPr>
        <w:numPr>
          <w:ilvl w:val="0"/>
          <w:numId w:val="16"/>
        </w:numPr>
        <w:tabs>
          <w:tab w:val="num" w:pos="567"/>
        </w:tabs>
        <w:suppressAutoHyphens/>
        <w:overflowPunct/>
        <w:autoSpaceDE/>
        <w:adjustRightInd/>
        <w:ind w:left="567" w:hanging="567"/>
        <w:textAlignment w:val="auto"/>
      </w:pPr>
      <w:r w:rsidRPr="00936117">
        <w:t>stresses that consistent and harmonised rules in this area are key to ensuring legal certainty, reducing compliance costs and ultimately increasing consumer choice;</w:t>
      </w:r>
    </w:p>
    <w:p w:rsidRPr="00936117" w:rsidR="004E2093" w:rsidP="00FD569D" w:rsidRDefault="004E2093" w14:paraId="6ECCFA5C" w14:textId="77777777">
      <w:pPr>
        <w:suppressAutoHyphens/>
        <w:overflowPunct/>
        <w:autoSpaceDE/>
        <w:adjustRightInd/>
        <w:textAlignment w:val="auto"/>
      </w:pPr>
    </w:p>
    <w:p w:rsidRPr="00936117" w:rsidR="00236A41" w:rsidP="005B4023" w:rsidRDefault="00923938" w14:paraId="1BBCCB3D" w14:textId="420FA733">
      <w:pPr>
        <w:numPr>
          <w:ilvl w:val="0"/>
          <w:numId w:val="16"/>
        </w:numPr>
        <w:tabs>
          <w:tab w:val="num" w:pos="567"/>
        </w:tabs>
        <w:suppressAutoHyphens/>
        <w:overflowPunct/>
        <w:autoSpaceDE/>
        <w:adjustRightInd/>
        <w:ind w:left="567" w:hanging="567"/>
        <w:textAlignment w:val="auto"/>
      </w:pPr>
      <w:r w:rsidRPr="00936117">
        <w:t xml:space="preserve">points out the need to </w:t>
      </w:r>
      <w:r w:rsidRPr="00936117" w:rsidR="004E2093">
        <w:t xml:space="preserve">strengthen </w:t>
      </w:r>
      <w:r w:rsidRPr="00936117">
        <w:t xml:space="preserve">consumer protection </w:t>
      </w:r>
      <w:r w:rsidRPr="00936117" w:rsidR="004E2093">
        <w:t xml:space="preserve">by incentivising innovation </w:t>
      </w:r>
      <w:r w:rsidRPr="00936117">
        <w:t xml:space="preserve">and business opportunities, particularly for SMEs, </w:t>
      </w:r>
      <w:r w:rsidRPr="00936117" w:rsidR="004E2093">
        <w:t xml:space="preserve">developing sustainable and fair business models; underlines that </w:t>
      </w:r>
      <w:r w:rsidRPr="00936117">
        <w:t>administrative burdens</w:t>
      </w:r>
      <w:r w:rsidRPr="00936117" w:rsidR="004E2093">
        <w:t xml:space="preserve"> should be reduced and procedures simplified</w:t>
      </w:r>
      <w:r w:rsidRPr="00936117">
        <w:t>, while</w:t>
      </w:r>
      <w:r w:rsidRPr="00936117" w:rsidR="004E2093">
        <w:t xml:space="preserve"> fully maintaining</w:t>
      </w:r>
      <w:r w:rsidRPr="00936117">
        <w:t xml:space="preserve"> a high level of consumer safety</w:t>
      </w:r>
      <w:r w:rsidRPr="00936117" w:rsidR="004E2093">
        <w:t>, environmental compliance</w:t>
      </w:r>
      <w:r w:rsidRPr="00936117">
        <w:t xml:space="preserve"> and </w:t>
      </w:r>
      <w:r w:rsidRPr="00936117" w:rsidR="004E2093">
        <w:t xml:space="preserve">fair competition </w:t>
      </w:r>
      <w:r w:rsidRPr="00936117">
        <w:t>in the</w:t>
      </w:r>
      <w:r w:rsidRPr="00936117" w:rsidR="004E2093">
        <w:t xml:space="preserve"> internal</w:t>
      </w:r>
      <w:r w:rsidRPr="00936117">
        <w:t xml:space="preserve"> market;</w:t>
      </w:r>
      <w:r w:rsidRPr="00936117" w:rsidR="00AF37CF">
        <w:t xml:space="preserve"> calls for proportionate and differentiated rules for small local producers, short supply chains and recognised local or regional labels ensuring that regulatory requirements remain easy to apply in practice, while guaranteeing full transparency, traceability and consumer safety; stresses that small-scale and locally embedded production must not be treated on </w:t>
      </w:r>
      <w:r w:rsidR="00A177C5">
        <w:t xml:space="preserve">an </w:t>
      </w:r>
      <w:r w:rsidRPr="00936117" w:rsidR="00AF37CF">
        <w:t>equal footing with large-scale industrial production when it comes to administrative compliance obligations;</w:t>
      </w:r>
    </w:p>
    <w:p w:rsidRPr="00936117" w:rsidR="00236A41" w:rsidP="00FD569D" w:rsidRDefault="00236A41" w14:paraId="50D33D76" w14:textId="77777777">
      <w:pPr>
        <w:suppressAutoHyphens/>
        <w:overflowPunct/>
        <w:autoSpaceDE/>
        <w:adjustRightInd/>
        <w:textAlignment w:val="auto"/>
      </w:pPr>
    </w:p>
    <w:p w:rsidRPr="00936117" w:rsidR="00236A41" w:rsidP="005B4023" w:rsidRDefault="00C156DC" w14:paraId="73985014" w14:textId="678D24C5">
      <w:pPr>
        <w:numPr>
          <w:ilvl w:val="0"/>
          <w:numId w:val="16"/>
        </w:numPr>
        <w:tabs>
          <w:tab w:val="num" w:pos="567"/>
        </w:tabs>
        <w:suppressAutoHyphens/>
        <w:overflowPunct/>
        <w:autoSpaceDE/>
        <w:adjustRightInd/>
        <w:ind w:left="567" w:hanging="567"/>
        <w:textAlignment w:val="auto"/>
      </w:pPr>
      <w:r w:rsidRPr="00936117">
        <w:t>acknowledges that the current EU competitiveness agenda, including efforts to simplify EU rules and reduce administrative burdens, can bring tangible benefits to businesses, particularly SMEs, but stresses that simplification should be pursued in a way that does not undermine the objectives of consumer protection policy, does not limit it in practice, does not decrease enforcement capacity and does not reduce the basic rights of consumers;</w:t>
      </w:r>
    </w:p>
    <w:p w:rsidRPr="00936117" w:rsidR="004E2093" w:rsidP="00FD569D" w:rsidRDefault="004E2093" w14:paraId="1935B550" w14:textId="77777777">
      <w:pPr>
        <w:suppressAutoHyphens/>
        <w:overflowPunct/>
        <w:autoSpaceDE/>
        <w:adjustRightInd/>
        <w:textAlignment w:val="auto"/>
      </w:pPr>
    </w:p>
    <w:p w:rsidRPr="00936117" w:rsidR="004E2093" w:rsidP="005B4023" w:rsidRDefault="004E2093" w14:paraId="114CEC58" w14:textId="666C5B80">
      <w:pPr>
        <w:numPr>
          <w:ilvl w:val="0"/>
          <w:numId w:val="16"/>
        </w:numPr>
        <w:tabs>
          <w:tab w:val="num" w:pos="567"/>
        </w:tabs>
        <w:suppressAutoHyphens/>
        <w:overflowPunct/>
        <w:autoSpaceDE/>
        <w:adjustRightInd/>
        <w:ind w:left="567" w:hanging="567"/>
        <w:textAlignment w:val="auto"/>
      </w:pPr>
      <w:r w:rsidRPr="00936117">
        <w:t xml:space="preserve">highlights the challenges faced by consumers affected by energy poverty, who are often exposed to high pricing pressures, complex contractual arrangements and limited access to switching or redress mechanisms; calls on the Commission to ensure </w:t>
      </w:r>
      <w:r w:rsidRPr="00936117" w:rsidR="005F309E">
        <w:t xml:space="preserve">that </w:t>
      </w:r>
      <w:r w:rsidRPr="00936117">
        <w:t>the Consumer Agenda</w:t>
      </w:r>
      <w:r w:rsidRPr="00936117" w:rsidR="009765AA">
        <w:t xml:space="preserve"> better integrates energy consumer protection, building on existing sectoral legislation, in particular as regards vulnerable households</w:t>
      </w:r>
      <w:r w:rsidR="00A177C5">
        <w:t>,</w:t>
      </w:r>
      <w:r w:rsidRPr="00936117">
        <w:t xml:space="preserve"> and to support local and regional authorities by equipping them with appropriate tools and resources to identify and assist vulnerable consumers, in coordination with existing EU initiatives such as the Energy Poverty Advisory Hub and consumer-relevant provisions of the revised Energy Efficiency Directive</w:t>
      </w:r>
      <w:r w:rsidRPr="00936117" w:rsidR="00A10C3E">
        <w:t>; highlights that consumers in regions facing structural or geographic disadvantages – recognised under Article 174 TFEU – may be more exposed to vulnerability due to higher costs of transport, supply, and access to essential services</w:t>
      </w:r>
      <w:r w:rsidRPr="00936117">
        <w:t>;</w:t>
      </w:r>
    </w:p>
    <w:p w:rsidRPr="00936117" w:rsidR="00236A41" w:rsidP="005B4023" w:rsidRDefault="00236A41" w14:paraId="37160D52" w14:textId="77777777">
      <w:pPr>
        <w:suppressAutoHyphens/>
        <w:overflowPunct/>
        <w:autoSpaceDE/>
        <w:adjustRightInd/>
        <w:textAlignment w:val="auto"/>
        <w:rPr>
          <w:b/>
          <w:bCs/>
        </w:rPr>
      </w:pPr>
    </w:p>
    <w:p w:rsidRPr="00936117" w:rsidR="00236A41" w:rsidP="005B4023" w:rsidRDefault="00223AB5" w14:paraId="665F80D1" w14:textId="021AAB46">
      <w:pPr>
        <w:keepNext/>
        <w:keepLines/>
        <w:suppressAutoHyphens/>
        <w:overflowPunct/>
        <w:autoSpaceDE/>
        <w:adjustRightInd/>
        <w:textAlignment w:val="auto"/>
      </w:pPr>
      <w:r w:rsidRPr="00936117">
        <w:rPr>
          <w:b/>
        </w:rPr>
        <w:t>Transparency in the digital environment and online consumer protection</w:t>
      </w:r>
    </w:p>
    <w:p w:rsidRPr="00936117" w:rsidR="00236A41" w:rsidP="00FD569D" w:rsidRDefault="00236A41" w14:paraId="34B188E1" w14:textId="77777777">
      <w:pPr>
        <w:keepNext/>
        <w:keepLines/>
        <w:suppressAutoHyphens/>
        <w:overflowPunct/>
        <w:autoSpaceDE/>
        <w:adjustRightInd/>
        <w:textAlignment w:val="auto"/>
      </w:pPr>
    </w:p>
    <w:p w:rsidRPr="00936117" w:rsidR="0002353F" w:rsidP="005B4023" w:rsidRDefault="00C156DC" w14:paraId="13B68859" w14:textId="091812F2">
      <w:pPr>
        <w:pStyle w:val="ListParagraph"/>
        <w:numPr>
          <w:ilvl w:val="0"/>
          <w:numId w:val="16"/>
        </w:numPr>
        <w:ind w:left="567" w:hanging="567"/>
      </w:pPr>
      <w:r w:rsidRPr="00936117">
        <w:t>notes that the proposed Digital Fairness Act is intended to respond to the rapid pace of digital change, which has led to gaps in consumer protection; stresses that this initiative must improve the protection of users online by integrating the principle of fairness at the design stage and the default principle, providing clearer rules on potentially harmful commercial practices, such as dark patterns, addictive design, influencer marketing, unfair personalisation or certain practices used in video games, and by adapting rules on the burden of proof to support effective enforcement</w:t>
      </w:r>
      <w:r w:rsidRPr="00936117" w:rsidR="004E2093">
        <w:t>, in particular by strengthening</w:t>
      </w:r>
      <w:r w:rsidRPr="00936117">
        <w:t xml:space="preserve"> the </w:t>
      </w:r>
      <w:r w:rsidRPr="00936117" w:rsidR="004E2093">
        <w:t>ability</w:t>
      </w:r>
      <w:r w:rsidRPr="00936117" w:rsidDel="004E2093" w:rsidR="004E2093">
        <w:t xml:space="preserve"> </w:t>
      </w:r>
      <w:r w:rsidRPr="00936117">
        <w:t xml:space="preserve">of </w:t>
      </w:r>
      <w:r w:rsidRPr="00936117" w:rsidR="004E2093">
        <w:t xml:space="preserve">consumers and authorities to challenge unfair practices, while ensuring that any simplification of business obligations does not reduce transparency or weaken consumer protection, </w:t>
      </w:r>
      <w:r w:rsidRPr="00936117">
        <w:t xml:space="preserve">including information requirements for contracts; </w:t>
      </w:r>
    </w:p>
    <w:p w:rsidRPr="00936117" w:rsidR="0002353F" w:rsidP="00FD569D" w:rsidRDefault="0002353F" w14:paraId="15AB4074" w14:textId="77777777">
      <w:pPr>
        <w:pStyle w:val="ListParagraph"/>
        <w:ind w:left="0"/>
      </w:pPr>
    </w:p>
    <w:p w:rsidRPr="00936117" w:rsidR="003717C9" w:rsidP="005B4023" w:rsidRDefault="00C156DC" w14:paraId="0BF3AC95" w14:textId="68AC697C">
      <w:pPr>
        <w:pStyle w:val="ListParagraph"/>
        <w:numPr>
          <w:ilvl w:val="0"/>
          <w:numId w:val="16"/>
        </w:numPr>
        <w:ind w:left="567" w:hanging="567"/>
      </w:pPr>
      <w:r w:rsidRPr="00936117">
        <w:t>insists</w:t>
      </w:r>
      <w:r w:rsidRPr="00936117" w:rsidR="002D7343">
        <w:t xml:space="preserve"> </w:t>
      </w:r>
      <w:r w:rsidRPr="00936117">
        <w:t xml:space="preserve">that </w:t>
      </w:r>
      <w:r w:rsidRPr="00936117" w:rsidR="002D7343">
        <w:t xml:space="preserve">the Commission </w:t>
      </w:r>
      <w:r w:rsidRPr="00936117">
        <w:t xml:space="preserve">should </w:t>
      </w:r>
      <w:r w:rsidRPr="00936117" w:rsidR="002D7343">
        <w:t>accompany</w:t>
      </w:r>
      <w:r w:rsidRPr="00936117" w:rsidDel="004E2093" w:rsidR="002D7343">
        <w:t xml:space="preserve"> </w:t>
      </w:r>
      <w:r w:rsidRPr="00936117">
        <w:t>new legislative</w:t>
      </w:r>
      <w:r w:rsidRPr="00936117" w:rsidR="002D7343">
        <w:t xml:space="preserve"> initiatives with thorough impact assessments, including specific assessments of the effects on vulnerable consumers, on less developed regions and on LRAs</w:t>
      </w:r>
      <w:r w:rsidRPr="00936117" w:rsidR="000B1166">
        <w:t>’</w:t>
      </w:r>
      <w:r w:rsidRPr="00936117" w:rsidR="002D7343">
        <w:t xml:space="preserve"> enforcement capacity</w:t>
      </w:r>
      <w:r w:rsidRPr="00936117">
        <w:t xml:space="preserve">. New rules should only be adopted where necessary and should </w:t>
      </w:r>
      <w:r w:rsidRPr="00936117" w:rsidR="002D7343">
        <w:t xml:space="preserve">primarily </w:t>
      </w:r>
      <w:r w:rsidRPr="00936117">
        <w:t>focus on closing loopholes in existing legislation;</w:t>
      </w:r>
      <w:r w:rsidRPr="00936117" w:rsidR="001A2629">
        <w:t xml:space="preserve"> calls for these impact assessments to systematically include a specific analysis of the effects on regions facing structural or geographic disadvantages; stresses that targeted new rules should be proposed where existing legislation is insufficient to address clear loopholes, systemic risks or emerging harmful practices, particularly in digital markets;</w:t>
      </w:r>
    </w:p>
    <w:p w:rsidRPr="00936117" w:rsidR="003717C9" w:rsidP="00FD569D" w:rsidRDefault="003717C9" w14:paraId="4815AD62" w14:textId="77777777">
      <w:pPr>
        <w:pStyle w:val="ListParagraph"/>
        <w:ind w:left="0"/>
      </w:pPr>
    </w:p>
    <w:p w:rsidRPr="00936117" w:rsidR="003717C9" w:rsidP="005B4023" w:rsidRDefault="00C156DC" w14:paraId="1ACEE5B4" w14:textId="65FF383B">
      <w:pPr>
        <w:pStyle w:val="ListParagraph"/>
        <w:numPr>
          <w:ilvl w:val="0"/>
          <w:numId w:val="16"/>
        </w:numPr>
        <w:ind w:left="567" w:hanging="567"/>
      </w:pPr>
      <w:r w:rsidRPr="00936117">
        <w:t xml:space="preserve">calls for consumer education in schools to be carried out from an early age on using artificial intelligence (AI) and making informed decisions online, and for better financial literacy for both young and older people through educational </w:t>
      </w:r>
      <w:r w:rsidRPr="00936117" w:rsidR="004F5018">
        <w:t xml:space="preserve">and information </w:t>
      </w:r>
      <w:r w:rsidRPr="00936117">
        <w:t>programmes run by local and regional authorities</w:t>
      </w:r>
      <w:r w:rsidRPr="00936117" w:rsidR="00625271">
        <w:t>, including advice centres, consumer care offices and specialised public portals, with a particular focus on minors, older people and other vulnerable consumers</w:t>
      </w:r>
      <w:r w:rsidRPr="00936117">
        <w:t>; highlights the key role in consumer policy played by local authorities, which can run local guidance centres, carry out educational programmes, support the circular economy and act as an intermediary between the consumer and the central administration;</w:t>
      </w:r>
    </w:p>
    <w:p w:rsidRPr="00936117" w:rsidR="003717C9" w:rsidP="00FD569D" w:rsidRDefault="003717C9" w14:paraId="07230B77" w14:textId="77777777">
      <w:pPr>
        <w:pStyle w:val="ListParagraph"/>
        <w:ind w:left="0"/>
      </w:pPr>
    </w:p>
    <w:p w:rsidRPr="00936117" w:rsidR="009058C9" w:rsidP="005B4023" w:rsidRDefault="009E79DE" w14:paraId="09BA2977" w14:textId="7C802307">
      <w:pPr>
        <w:pStyle w:val="ListParagraph"/>
        <w:numPr>
          <w:ilvl w:val="0"/>
          <w:numId w:val="16"/>
        </w:numPr>
        <w:ind w:left="567" w:hanging="567"/>
      </w:pPr>
      <w:r w:rsidRPr="00936117">
        <w:t>draws attention to the growing influx of unsafe, non-compliant and counterfeit goods entering the EU market, particularly through e-commerce from countries outside the EU. This has a negative impact on economic operators in the EU, particular SMEs, and on consumer safety</w:t>
      </w:r>
      <w:r w:rsidRPr="00936117" w:rsidR="002D7343">
        <w:t>, with consumers flooded with low-cost goods, leading to overconsumption and the risk of non-compliant products</w:t>
      </w:r>
      <w:r w:rsidRPr="00936117">
        <w:t>; calls, therefore, for the market surveillance framework to be strengthened</w:t>
      </w:r>
      <w:r w:rsidRPr="00936117" w:rsidR="002D7343">
        <w:t>, increasing the capacity to inspect cross-border e-commerce,</w:t>
      </w:r>
      <w:r w:rsidRPr="00936117">
        <w:t xml:space="preserve"> so that only compliant products are made available on the EU market, thus protecting European businesses from unfair competition;</w:t>
      </w:r>
    </w:p>
    <w:p w:rsidRPr="00936117" w:rsidR="00C95C56" w:rsidP="00FD569D" w:rsidRDefault="00C95C56" w14:paraId="41EC308B" w14:textId="77777777">
      <w:pPr>
        <w:suppressAutoHyphens/>
        <w:overflowPunct/>
        <w:autoSpaceDE/>
        <w:adjustRightInd/>
        <w:textAlignment w:val="auto"/>
      </w:pPr>
    </w:p>
    <w:p w:rsidRPr="00936117" w:rsidR="00656201" w:rsidP="005B4023" w:rsidRDefault="009E79DE" w14:paraId="0E88DB48" w14:textId="38ADF619">
      <w:pPr>
        <w:numPr>
          <w:ilvl w:val="0"/>
          <w:numId w:val="16"/>
        </w:numPr>
        <w:tabs>
          <w:tab w:val="num" w:pos="567"/>
        </w:tabs>
        <w:suppressAutoHyphens/>
        <w:overflowPunct/>
        <w:autoSpaceDE/>
        <w:adjustRightInd/>
        <w:ind w:left="567" w:hanging="567"/>
        <w:textAlignment w:val="auto"/>
      </w:pPr>
      <w:r w:rsidRPr="00936117">
        <w:t>acknowledges the principle that ‘what is illegal offline must be illegal online’ and calls for more effective oversight of online marketplaces, digital intermediaries and interfaces that manipulate consumer decisions</w:t>
      </w:r>
      <w:r w:rsidRPr="00936117" w:rsidR="002D7343">
        <w:t>, ensuring that platforms and sellers are accountable for product safety, compliance with Union rules and traceability, including through appropriate responsibility mechanisms, thereby supporting fair competition, consumer trust and more sustainable market practices</w:t>
      </w:r>
      <w:r w:rsidRPr="00936117">
        <w:t>. To this end, it calls for the promotion of simple complaint mechanisms</w:t>
      </w:r>
      <w:r w:rsidRPr="00936117" w:rsidR="002D7343">
        <w:t xml:space="preserve"> and effective follow up to existing audit and risk assessment obligations for large platforms, clearer allocation of responsibility for marketplaces, common consumer information standards, and penalties that are effective and visibly enforced</w:t>
      </w:r>
      <w:r w:rsidRPr="00936117">
        <w:t>;</w:t>
      </w:r>
      <w:r w:rsidRPr="00936117" w:rsidR="00661FCB">
        <w:t xml:space="preserve"> also calls for the implementation of EU mechanisms for mutual assistance in recovering non-tax penalties imposed on companies that lack a physical presence and a tax identification number in the state where the inspection is carried out and the irregularity is detected;</w:t>
      </w:r>
    </w:p>
    <w:p w:rsidRPr="00936117" w:rsidR="00656201" w:rsidP="005B4023" w:rsidRDefault="00656201" w14:paraId="018699D4" w14:textId="77777777">
      <w:pPr>
        <w:suppressAutoHyphens/>
        <w:overflowPunct/>
        <w:autoSpaceDE/>
        <w:adjustRightInd/>
        <w:textAlignment w:val="auto"/>
      </w:pPr>
    </w:p>
    <w:p w:rsidRPr="00936117" w:rsidR="009058C9" w:rsidP="005B4023" w:rsidRDefault="009E79DE" w14:paraId="45D57520" w14:textId="2CBD363C">
      <w:pPr>
        <w:numPr>
          <w:ilvl w:val="0"/>
          <w:numId w:val="16"/>
        </w:numPr>
        <w:tabs>
          <w:tab w:val="num" w:pos="567"/>
        </w:tabs>
        <w:suppressAutoHyphens/>
        <w:overflowPunct/>
        <w:autoSpaceDE/>
        <w:adjustRightInd/>
        <w:ind w:left="567" w:hanging="567"/>
        <w:textAlignment w:val="auto"/>
      </w:pPr>
      <w:r w:rsidRPr="00936117">
        <w:t>draws attention to the digitalisation of consumer-business relations, including algorithms that influence purchasing decisions and personalised offers, and stresses the importance of transparency and digital skills, while preserving innovation and fair competition;</w:t>
      </w:r>
      <w:r w:rsidRPr="00936117" w:rsidR="008D7312">
        <w:t xml:space="preserve"> further calls for appropriate safeguards to ensure accountability for algorithmic systems, prevent exploitative or manipulative practices and address harmful impacts on consumer behaviour;</w:t>
      </w:r>
    </w:p>
    <w:p w:rsidRPr="00936117" w:rsidR="00C95C56" w:rsidP="00FD569D" w:rsidRDefault="00C95C56" w14:paraId="2A712D16" w14:textId="77777777">
      <w:pPr>
        <w:suppressAutoHyphens/>
        <w:overflowPunct/>
        <w:autoSpaceDE/>
        <w:adjustRightInd/>
        <w:textAlignment w:val="auto"/>
      </w:pPr>
    </w:p>
    <w:p w:rsidRPr="00936117" w:rsidR="009058C9" w:rsidP="005B4023" w:rsidRDefault="009E79DE" w14:paraId="28FB1DA0" w14:textId="3567CF69">
      <w:pPr>
        <w:numPr>
          <w:ilvl w:val="0"/>
          <w:numId w:val="16"/>
        </w:numPr>
        <w:tabs>
          <w:tab w:val="num" w:pos="567"/>
        </w:tabs>
        <w:suppressAutoHyphens/>
        <w:overflowPunct/>
        <w:autoSpaceDE/>
        <w:adjustRightInd/>
        <w:ind w:left="567" w:hanging="567"/>
        <w:textAlignment w:val="auto"/>
      </w:pPr>
      <w:r w:rsidRPr="00936117">
        <w:t>draws attention to the growing number of vulnerable consumers, such as people with disabilities, older people, minors, young consumers and low-income families, who are more vulnerable to risky purchasing decisions and unfair practices; points to the need for education</w:t>
      </w:r>
      <w:r w:rsidRPr="00936117" w:rsidR="001469BB">
        <w:t>, especially financial education and digital literacy,</w:t>
      </w:r>
      <w:r w:rsidRPr="00936117">
        <w:t xml:space="preserve"> to raise awareness and for proportionate safeguards against genuinely unfair practices</w:t>
      </w:r>
      <w:r w:rsidRPr="00936117" w:rsidR="001469BB">
        <w:t>, with measures to monitor advertising aimed at children, ban deceptive design patterns and introduce simple tools to warn consumers</w:t>
      </w:r>
      <w:r w:rsidRPr="00936117" w:rsidR="00F76EBC">
        <w:t>, as well as for financial safeguards for vulnerable groups by promoting ‘protection by default’ protocols concerning the provision of financial services and consumer credit for such groups</w:t>
      </w:r>
      <w:r w:rsidRPr="00936117">
        <w:t>;</w:t>
      </w:r>
    </w:p>
    <w:p w:rsidRPr="00936117" w:rsidR="00462F98" w:rsidP="00FD569D" w:rsidRDefault="00462F98" w14:paraId="42CFC179" w14:textId="77777777">
      <w:pPr>
        <w:suppressAutoHyphens/>
        <w:overflowPunct/>
        <w:autoSpaceDE/>
        <w:adjustRightInd/>
        <w:textAlignment w:val="auto"/>
      </w:pPr>
    </w:p>
    <w:p w:rsidRPr="00936117" w:rsidR="00462F98" w:rsidP="005B4023" w:rsidRDefault="00462F98" w14:paraId="38A7606B" w14:textId="2C4A34E0">
      <w:pPr>
        <w:numPr>
          <w:ilvl w:val="0"/>
          <w:numId w:val="16"/>
        </w:numPr>
        <w:tabs>
          <w:tab w:val="num" w:pos="567"/>
        </w:tabs>
        <w:suppressAutoHyphens/>
        <w:overflowPunct/>
        <w:autoSpaceDE/>
        <w:adjustRightInd/>
        <w:ind w:left="567" w:hanging="567"/>
        <w:textAlignment w:val="auto"/>
      </w:pPr>
      <w:r w:rsidRPr="00936117">
        <w:t>calls for the Consumer Agenda to explicitly address the link between consumer vulnerability and socioeconomic factors; stresses that access to consumer redress, legal advice and dispute resolution must be guaranteed even for low-income consumers; underlines the role of public and social economy actors, including local and regional authorities, consumer organisations and non-profit advisory services, in delivering frontline consumer support, and calls for dedicated EU funding to support these services, including through the European Social Fund and cohesion policy instruments;</w:t>
      </w:r>
    </w:p>
    <w:p w:rsidRPr="00936117" w:rsidR="00DA16D8" w:rsidP="005B4023" w:rsidRDefault="00DA16D8" w14:paraId="0D9067B9" w14:textId="77777777">
      <w:pPr>
        <w:suppressAutoHyphens/>
        <w:overflowPunct/>
        <w:autoSpaceDE/>
        <w:adjustRightInd/>
        <w:textAlignment w:val="auto"/>
      </w:pPr>
    </w:p>
    <w:p w:rsidRPr="00936117" w:rsidR="00FD04CF" w:rsidP="005B4023" w:rsidRDefault="00FD04CF" w14:paraId="6FA93451" w14:textId="2BE1B959">
      <w:pPr>
        <w:keepNext/>
        <w:keepLines/>
        <w:suppressAutoHyphens/>
        <w:overflowPunct/>
        <w:autoSpaceDE/>
        <w:adjustRightInd/>
        <w:textAlignment w:val="auto"/>
        <w:rPr>
          <w:b/>
          <w:bCs/>
        </w:rPr>
      </w:pPr>
      <w:r w:rsidRPr="00936117">
        <w:rPr>
          <w:b/>
        </w:rPr>
        <w:t>Sustainable consumption</w:t>
      </w:r>
    </w:p>
    <w:p w:rsidRPr="00936117" w:rsidR="00FD04CF" w:rsidP="00FD569D" w:rsidRDefault="00FD04CF" w14:paraId="02C6300A" w14:textId="77777777">
      <w:pPr>
        <w:keepNext/>
        <w:keepLines/>
        <w:suppressAutoHyphens/>
        <w:overflowPunct/>
        <w:autoSpaceDE/>
        <w:adjustRightInd/>
        <w:textAlignment w:val="auto"/>
      </w:pPr>
    </w:p>
    <w:p w:rsidRPr="00936117" w:rsidR="00FD04CF" w:rsidP="005B4023" w:rsidRDefault="009E79DE" w14:paraId="6A04474A" w14:textId="4D48B891">
      <w:pPr>
        <w:numPr>
          <w:ilvl w:val="0"/>
          <w:numId w:val="16"/>
        </w:numPr>
        <w:tabs>
          <w:tab w:val="num" w:pos="567"/>
        </w:tabs>
        <w:suppressAutoHyphens/>
        <w:overflowPunct/>
        <w:autoSpaceDE/>
        <w:adjustRightInd/>
        <w:ind w:left="567" w:hanging="567"/>
        <w:textAlignment w:val="auto"/>
      </w:pPr>
      <w:r w:rsidRPr="00936117">
        <w:t xml:space="preserve">calls for the promotion of sustainable consumption patterns </w:t>
      </w:r>
      <w:r w:rsidRPr="00936117" w:rsidR="008B7BCF">
        <w:t xml:space="preserve">and the limitation of business models based on ultra-fast consumption </w:t>
      </w:r>
      <w:r w:rsidRPr="00936117">
        <w:t xml:space="preserve">through effective controls on the import of </w:t>
      </w:r>
      <w:r w:rsidRPr="00936117" w:rsidR="008B7BCF">
        <w:t xml:space="preserve">non-compliant, unsafe and environmentally harmful </w:t>
      </w:r>
      <w:r w:rsidRPr="00936117">
        <w:t xml:space="preserve">low-value consignments from outside the EU, ensuring </w:t>
      </w:r>
      <w:r w:rsidRPr="00936117" w:rsidR="008B7BCF">
        <w:t xml:space="preserve">both consumer safety and </w:t>
      </w:r>
      <w:r w:rsidRPr="00936117">
        <w:t xml:space="preserve">a level playing field for EU businesses and the accountability of platforms </w:t>
      </w:r>
      <w:r w:rsidRPr="00936117" w:rsidR="008B7BCF">
        <w:t xml:space="preserve">and intermediaries </w:t>
      </w:r>
      <w:r w:rsidRPr="00936117">
        <w:t>for product compliance;</w:t>
      </w:r>
    </w:p>
    <w:p w:rsidRPr="00936117" w:rsidR="00FD04CF" w:rsidP="00FD569D" w:rsidRDefault="00FD04CF" w14:paraId="64F8980D" w14:textId="77777777">
      <w:pPr>
        <w:suppressAutoHyphens/>
        <w:overflowPunct/>
        <w:autoSpaceDE/>
        <w:adjustRightInd/>
        <w:textAlignment w:val="auto"/>
      </w:pPr>
    </w:p>
    <w:p w:rsidRPr="00936117" w:rsidR="008B7BCF" w:rsidP="005B4023" w:rsidRDefault="008B7BCF" w14:paraId="0070CE2D" w14:textId="00059B6C">
      <w:pPr>
        <w:numPr>
          <w:ilvl w:val="0"/>
          <w:numId w:val="16"/>
        </w:numPr>
        <w:tabs>
          <w:tab w:val="num" w:pos="567"/>
        </w:tabs>
        <w:suppressAutoHyphens/>
        <w:overflowPunct/>
        <w:autoSpaceDE/>
        <w:adjustRightInd/>
        <w:ind w:left="567" w:hanging="567"/>
        <w:textAlignment w:val="auto"/>
      </w:pPr>
      <w:r w:rsidRPr="00936117">
        <w:t>welcomes the recognition of the right to repair as a key element of EU Consumer Policy and calls for full and timely implementation of the Right to Repair Directive; encourages local and regional authorities to promote and facilitate access to repair services, particularly through social economy and solidarity economy initiatives; supports the development of local repair hubs, making use of existing EU funding instruments, where appropriate, with a view to improving affordability, particularly for low-income consumers;</w:t>
      </w:r>
      <w:r w:rsidRPr="00936117" w:rsidR="00607700">
        <w:t xml:space="preserve"> believes that account should also be taken of the specific characteristics of the outermost regions owing to their remoteness and small internal market, so that their consumers can exercise the right to repair on an equal footing with any other EU consumer:</w:t>
      </w:r>
    </w:p>
    <w:p w:rsidRPr="00936117" w:rsidR="008B7BCF" w:rsidP="00FD569D" w:rsidRDefault="008B7BCF" w14:paraId="3E8D0364" w14:textId="77777777">
      <w:pPr>
        <w:suppressAutoHyphens/>
        <w:overflowPunct/>
        <w:autoSpaceDE/>
        <w:adjustRightInd/>
        <w:textAlignment w:val="auto"/>
      </w:pPr>
    </w:p>
    <w:p w:rsidRPr="00936117" w:rsidR="00EB6848" w:rsidP="005B4023" w:rsidRDefault="009E79DE" w14:paraId="50ED20F9" w14:textId="7701B12E">
      <w:pPr>
        <w:numPr>
          <w:ilvl w:val="0"/>
          <w:numId w:val="16"/>
        </w:numPr>
        <w:tabs>
          <w:tab w:val="num" w:pos="567"/>
        </w:tabs>
        <w:suppressAutoHyphens/>
        <w:overflowPunct/>
        <w:autoSpaceDE/>
        <w:adjustRightInd/>
        <w:ind w:left="567" w:hanging="567"/>
        <w:textAlignment w:val="auto"/>
      </w:pPr>
      <w:r w:rsidRPr="00936117">
        <w:t xml:space="preserve">encourages the promotion of repair, reuse, secondary markets and local circularity initiatives. </w:t>
      </w:r>
      <w:r w:rsidRPr="00936117" w:rsidR="008B7BCF">
        <w:t>T</w:t>
      </w:r>
      <w:r w:rsidRPr="00936117">
        <w:t xml:space="preserve">o enable businesses to further innovate </w:t>
      </w:r>
      <w:r w:rsidRPr="00936117" w:rsidR="008B7BCF">
        <w:t xml:space="preserve">on </w:t>
      </w:r>
      <w:r w:rsidRPr="00936117">
        <w:t xml:space="preserve">circular </w:t>
      </w:r>
      <w:r w:rsidRPr="00936117" w:rsidR="008B7BCF">
        <w:t xml:space="preserve">and no-waste </w:t>
      </w:r>
      <w:r w:rsidRPr="00936117">
        <w:t>models and sectors, the</w:t>
      </w:r>
      <w:r w:rsidRPr="00936117" w:rsidR="008B7BCF">
        <w:t xml:space="preserve"> public sector shall create the appropriate supportive framework conditions</w:t>
      </w:r>
      <w:r w:rsidR="005D2F9A">
        <w:t>,</w:t>
      </w:r>
      <w:r w:rsidRPr="00936117" w:rsidR="00445BF3">
        <w:t xml:space="preserve"> including local products, community markets and short supply chains that retain added value within territories, particularly in rural and less developed regions, while ensuring administrative simplification for local producers; considers that the principle of proximity should apply to circular economy processes in the outermost regions to avoid disproportionate transport and emissions; calls for flexibility to allow treatment of waste in geographically closer territories, including, where justified, in nearby non</w:t>
      </w:r>
      <w:r w:rsidR="005D2F9A">
        <w:t>-</w:t>
      </w:r>
      <w:r w:rsidRPr="00936117" w:rsidR="00445BF3">
        <w:t>EU countries;</w:t>
      </w:r>
    </w:p>
    <w:p w:rsidRPr="00936117" w:rsidR="00EB6848" w:rsidP="00FD569D" w:rsidRDefault="00EB6848" w14:paraId="6927D99B" w14:textId="77777777">
      <w:pPr>
        <w:suppressAutoHyphens/>
        <w:overflowPunct/>
        <w:autoSpaceDE/>
        <w:adjustRightInd/>
        <w:textAlignment w:val="auto"/>
      </w:pPr>
    </w:p>
    <w:p w:rsidRPr="00936117" w:rsidR="008B7BCF" w:rsidP="005B4023" w:rsidRDefault="008B7BCF" w14:paraId="3E2C9221" w14:textId="1A873BBE">
      <w:pPr>
        <w:numPr>
          <w:ilvl w:val="0"/>
          <w:numId w:val="16"/>
        </w:numPr>
        <w:tabs>
          <w:tab w:val="num" w:pos="567"/>
        </w:tabs>
        <w:suppressAutoHyphens/>
        <w:overflowPunct/>
        <w:autoSpaceDE/>
        <w:adjustRightInd/>
        <w:ind w:left="567" w:hanging="567"/>
        <w:textAlignment w:val="auto"/>
      </w:pPr>
      <w:r w:rsidRPr="00936117">
        <w:t>stresses that sustainable consumption must be supported not only through enforcement but also through positive incentives and consumer rights, including the right to durable, repairable and recyclable products and that the Consumer Agenda 2030 should support circular economy objectives;</w:t>
      </w:r>
    </w:p>
    <w:p w:rsidRPr="00936117" w:rsidR="008B7BCF" w:rsidP="00FD569D" w:rsidRDefault="008B7BCF" w14:paraId="4DB6EA23" w14:textId="77777777">
      <w:pPr>
        <w:suppressAutoHyphens/>
        <w:overflowPunct/>
        <w:autoSpaceDE/>
        <w:adjustRightInd/>
        <w:textAlignment w:val="auto"/>
      </w:pPr>
    </w:p>
    <w:p w:rsidRPr="00936117" w:rsidR="00EB6848" w:rsidP="005B4023" w:rsidRDefault="00411AFE" w14:paraId="48F04F1E" w14:textId="316D0383">
      <w:pPr>
        <w:numPr>
          <w:ilvl w:val="0"/>
          <w:numId w:val="16"/>
        </w:numPr>
        <w:tabs>
          <w:tab w:val="num" w:pos="567"/>
        </w:tabs>
        <w:suppressAutoHyphens/>
        <w:overflowPunct/>
        <w:autoSpaceDE/>
        <w:adjustRightInd/>
        <w:ind w:left="567" w:hanging="567"/>
        <w:textAlignment w:val="auto"/>
      </w:pPr>
      <w:r w:rsidRPr="00936117">
        <w:t>supports the launch of a European online repair platform that will help consumers easily find reliable repair services, compare prices and lead times, access information on spare parts and on guarantee rights and connect with local repairers and social economy initiatives; encourages the integration of the platform into existing national and regional systems and EU initiatives to increase the visibility of repair options, extend the lifespan of products and reduce waste;</w:t>
      </w:r>
    </w:p>
    <w:p w:rsidRPr="00936117" w:rsidR="008B7BCF" w:rsidP="00FD569D" w:rsidRDefault="008B7BCF" w14:paraId="1C32A08E" w14:textId="77777777">
      <w:pPr>
        <w:suppressAutoHyphens/>
        <w:overflowPunct/>
        <w:autoSpaceDE/>
        <w:adjustRightInd/>
        <w:textAlignment w:val="auto"/>
      </w:pPr>
    </w:p>
    <w:p w:rsidRPr="00936117" w:rsidR="008B7BCF" w:rsidP="005B4023" w:rsidRDefault="008B7BCF" w14:paraId="3BD06CAE" w14:textId="3B2A1059">
      <w:pPr>
        <w:numPr>
          <w:ilvl w:val="0"/>
          <w:numId w:val="16"/>
        </w:numPr>
        <w:tabs>
          <w:tab w:val="num" w:pos="567"/>
        </w:tabs>
        <w:suppressAutoHyphens/>
        <w:overflowPunct/>
        <w:autoSpaceDE/>
        <w:adjustRightInd/>
        <w:ind w:left="567" w:hanging="567"/>
        <w:textAlignment w:val="auto"/>
      </w:pPr>
      <w:r w:rsidRPr="00936117">
        <w:t xml:space="preserve">calls for continued efforts to combat deceptive commercial practices such as greenwashing, </w:t>
      </w:r>
      <w:r w:rsidRPr="00936117" w:rsidR="00270C7D">
        <w:t>through</w:t>
      </w:r>
      <w:r w:rsidRPr="00936117" w:rsidDel="008D0A8A" w:rsidR="00270C7D">
        <w:t xml:space="preserve"> </w:t>
      </w:r>
      <w:r w:rsidRPr="00936117">
        <w:t xml:space="preserve">visible </w:t>
      </w:r>
      <w:r w:rsidRPr="00936117" w:rsidR="00ED32B5">
        <w:t xml:space="preserve">and deterrent </w:t>
      </w:r>
      <w:r w:rsidRPr="00936117">
        <w:t>penalties</w:t>
      </w:r>
      <w:r w:rsidRPr="00936117" w:rsidR="00FF0A35">
        <w:t xml:space="preserve"> and the requirement for environmental claims to be based on verifiable evidence before a product is placed on the market</w:t>
      </w:r>
      <w:r w:rsidRPr="00936117" w:rsidDel="008020FE" w:rsidR="00FF0A35">
        <w:t xml:space="preserve"> </w:t>
      </w:r>
      <w:r w:rsidRPr="00936117">
        <w:t>, so that consumers are better educated about and more aware of sustainable consumption;</w:t>
      </w:r>
    </w:p>
    <w:p w:rsidRPr="00936117" w:rsidR="008B7BCF" w:rsidP="005B4023" w:rsidRDefault="008B7BCF" w14:paraId="7335C689" w14:textId="77777777">
      <w:pPr>
        <w:suppressAutoHyphens/>
        <w:overflowPunct/>
        <w:autoSpaceDE/>
        <w:adjustRightInd/>
        <w:textAlignment w:val="auto"/>
      </w:pPr>
    </w:p>
    <w:p w:rsidRPr="00936117" w:rsidR="008B7BCF" w:rsidP="005B4023" w:rsidRDefault="000B1166" w14:paraId="12EEE85D" w14:textId="57C1ED70">
      <w:pPr>
        <w:numPr>
          <w:ilvl w:val="0"/>
          <w:numId w:val="16"/>
        </w:numPr>
        <w:tabs>
          <w:tab w:val="num" w:pos="567"/>
        </w:tabs>
        <w:suppressAutoHyphens/>
        <w:overflowPunct/>
        <w:autoSpaceDE/>
        <w:adjustRightInd/>
        <w:ind w:left="567" w:hanging="567"/>
        <w:textAlignment w:val="auto"/>
      </w:pPr>
      <w:r w:rsidRPr="00936117">
        <w:t>w</w:t>
      </w:r>
      <w:r w:rsidRPr="00936117" w:rsidR="008B7BCF">
        <w:t>elcomes the promotion of ‘green by design’ principles in e commerce as a means to improve product quality and transparency for consumers; recognises that voluntary and well designed ecolabelling schemes, such as the EU Ecolabel, can be effective tools to support informed consumer choice, build trust and enable businesses to distinguish durable and high quality products; highlights the role of local and regional authorities in raising consumer awareness and making prudent use of public procurement to support these objectives, and calls for adequate and targeted resources to this end</w:t>
      </w:r>
      <w:r w:rsidRPr="00936117" w:rsidR="00141B82">
        <w:t>; underlines that local and regional quality labels can help consumers identify authentic local products, provided that claims are verifiable and not misleading; calls on the Commission and Member States to facilitate the recognition and promotion of such labels within the single market, while ensuring that the certification and compliance requirements remain proportionate and accessible to small and micro-producers</w:t>
      </w:r>
      <w:r w:rsidRPr="00936117" w:rsidR="00F21566">
        <w:t>;</w:t>
      </w:r>
    </w:p>
    <w:p w:rsidRPr="00936117" w:rsidR="008B7BCF" w:rsidP="005B4023" w:rsidRDefault="008B7BCF" w14:paraId="662F33A8" w14:textId="77777777">
      <w:pPr>
        <w:suppressAutoHyphens/>
        <w:overflowPunct/>
        <w:autoSpaceDE/>
        <w:adjustRightInd/>
        <w:textAlignment w:val="auto"/>
      </w:pPr>
    </w:p>
    <w:p w:rsidRPr="00936117" w:rsidR="008B7BCF" w:rsidP="005B4023" w:rsidRDefault="000B1166" w14:paraId="0F8052D3" w14:textId="493E30A2">
      <w:pPr>
        <w:numPr>
          <w:ilvl w:val="0"/>
          <w:numId w:val="16"/>
        </w:numPr>
        <w:tabs>
          <w:tab w:val="num" w:pos="567"/>
        </w:tabs>
        <w:suppressAutoHyphens/>
        <w:overflowPunct/>
        <w:autoSpaceDE/>
        <w:adjustRightInd/>
        <w:ind w:left="567" w:hanging="567"/>
        <w:textAlignment w:val="auto"/>
      </w:pPr>
      <w:r w:rsidRPr="00936117">
        <w:t>s</w:t>
      </w:r>
      <w:r w:rsidRPr="00936117" w:rsidR="008B7BCF">
        <w:t>tresses the importance of protecting consumers, in particular children, from exposure to harmful chemicals in consumer products such as cosmetics and toys; calls for a science based approach to addressing substances of highest concern, including endocrine disruptors, and for clear and workable EU wide safety rules that ensure a high level of consumer protection while maintaining legal certainty for businesses; underlines the value of transparent and reliable labelling in enabling informed consumer choice to empower consumers;</w:t>
      </w:r>
    </w:p>
    <w:p w:rsidRPr="00936117" w:rsidR="00EB6848" w:rsidP="00FD569D" w:rsidRDefault="00EB6848" w14:paraId="23D4BFD8" w14:textId="77777777">
      <w:pPr>
        <w:suppressAutoHyphens/>
        <w:overflowPunct/>
        <w:autoSpaceDE/>
        <w:adjustRightInd/>
        <w:textAlignment w:val="auto"/>
      </w:pPr>
    </w:p>
    <w:p w:rsidRPr="00936117" w:rsidR="00EB6848" w:rsidP="005B4023" w:rsidRDefault="00EB6848" w14:paraId="3E5F04AB" w14:textId="5E42E8DD">
      <w:pPr>
        <w:keepNext/>
        <w:keepLines/>
        <w:suppressAutoHyphens/>
        <w:overflowPunct/>
        <w:autoSpaceDE/>
        <w:adjustRightInd/>
        <w:textAlignment w:val="auto"/>
        <w:rPr>
          <w:b/>
          <w:bCs/>
        </w:rPr>
      </w:pPr>
      <w:r w:rsidRPr="00936117">
        <w:rPr>
          <w:b/>
        </w:rPr>
        <w:t>Effective enforcement and redress</w:t>
      </w:r>
    </w:p>
    <w:p w:rsidRPr="00936117" w:rsidR="005B3B16" w:rsidP="005B4023" w:rsidRDefault="005B3B16" w14:paraId="7AA8F58C" w14:textId="77777777">
      <w:pPr>
        <w:keepNext/>
        <w:keepLines/>
        <w:suppressAutoHyphens/>
        <w:overflowPunct/>
        <w:autoSpaceDE/>
        <w:adjustRightInd/>
        <w:textAlignment w:val="auto"/>
        <w:rPr>
          <w:b/>
          <w:bCs/>
        </w:rPr>
      </w:pPr>
    </w:p>
    <w:p w:rsidRPr="00936117" w:rsidR="009058C9" w:rsidP="005B4023" w:rsidRDefault="009553DA" w14:paraId="44AC442A" w14:textId="5A3000E6">
      <w:pPr>
        <w:numPr>
          <w:ilvl w:val="0"/>
          <w:numId w:val="16"/>
        </w:numPr>
        <w:tabs>
          <w:tab w:val="num" w:pos="567"/>
        </w:tabs>
        <w:suppressAutoHyphens/>
        <w:overflowPunct/>
        <w:autoSpaceDE/>
        <w:adjustRightInd/>
        <w:ind w:left="567" w:hanging="567"/>
        <w:textAlignment w:val="auto"/>
      </w:pPr>
      <w:r w:rsidRPr="00936117">
        <w:t>stresses that the effectiveness of EU consumer protection could be undermined by differences in enforcement and different legal interpretations as well as the risk of regulatory divergence resulting from policy developments in different parts of the EU; points out that increasing legal consistency and transparency at EU level would help strengthen consumer protection and ensure smooth functioning of the single market, while creating a stable and predictable environment for all actors;</w:t>
      </w:r>
    </w:p>
    <w:p w:rsidRPr="00936117" w:rsidR="00C95C56" w:rsidP="00FD569D" w:rsidRDefault="00C95C56" w14:paraId="034FC76E" w14:textId="77777777">
      <w:pPr>
        <w:suppressAutoHyphens/>
        <w:overflowPunct/>
        <w:autoSpaceDE/>
        <w:adjustRightInd/>
        <w:textAlignment w:val="auto"/>
      </w:pPr>
    </w:p>
    <w:p w:rsidRPr="00936117" w:rsidR="00105AE8" w:rsidP="005B4023" w:rsidRDefault="00A36318" w14:paraId="64098A78" w14:textId="77A58764">
      <w:pPr>
        <w:numPr>
          <w:ilvl w:val="0"/>
          <w:numId w:val="16"/>
        </w:numPr>
        <w:tabs>
          <w:tab w:val="num" w:pos="567"/>
        </w:tabs>
        <w:suppressAutoHyphens/>
        <w:overflowPunct/>
        <w:autoSpaceDE/>
        <w:adjustRightInd/>
        <w:ind w:left="567" w:hanging="567"/>
        <w:textAlignment w:val="auto"/>
      </w:pPr>
      <w:r w:rsidRPr="00936117">
        <w:t>underlines that effective enforcement and accessible redress mechanisms are essential both to protect consumers from non-compliant traders and to protect businesses that are compliant from unfair competition; stresses that the rate of compliance in digital markets remains alarmingly low, with an average of around half of online businesses infringing EU consumer protection law;</w:t>
      </w:r>
    </w:p>
    <w:p w:rsidRPr="00936117" w:rsidR="00105AE8" w:rsidP="00FD569D" w:rsidRDefault="00105AE8" w14:paraId="161765F2" w14:textId="77777777">
      <w:pPr>
        <w:suppressAutoHyphens/>
        <w:overflowPunct/>
        <w:autoSpaceDE/>
        <w:adjustRightInd/>
        <w:textAlignment w:val="auto"/>
      </w:pPr>
    </w:p>
    <w:p w:rsidRPr="00936117" w:rsidR="00105AE8" w:rsidP="005B4023" w:rsidRDefault="00A36318" w14:paraId="127102E8" w14:textId="5D23BD87">
      <w:pPr>
        <w:numPr>
          <w:ilvl w:val="0"/>
          <w:numId w:val="16"/>
        </w:numPr>
        <w:tabs>
          <w:tab w:val="num" w:pos="567"/>
        </w:tabs>
        <w:suppressAutoHyphens/>
        <w:overflowPunct/>
        <w:autoSpaceDE/>
        <w:adjustRightInd/>
        <w:ind w:left="567" w:hanging="567"/>
        <w:textAlignment w:val="auto"/>
      </w:pPr>
      <w:r w:rsidRPr="00936117">
        <w:t>points out that the various harmful online commercial practices cost EU consumers at least EUR 7.9 billion per year, while the costs for businesses to comply with EU consumer law are much lower – no more than EUR 737 million per year</w:t>
      </w:r>
      <w:r w:rsidRPr="00936117" w:rsidR="00105AE8">
        <w:rPr>
          <w:rStyle w:val="FootnoteReference"/>
          <w:rFonts w:asciiTheme="minorHAnsi" w:hAnsiTheme="minorHAnsi"/>
        </w:rPr>
        <w:footnoteReference w:id="1"/>
      </w:r>
      <w:r w:rsidRPr="00936117">
        <w:t xml:space="preserve">; </w:t>
      </w:r>
    </w:p>
    <w:p w:rsidRPr="00936117" w:rsidR="00105AE8" w:rsidP="00FD569D" w:rsidRDefault="00105AE8" w14:paraId="6D525C23" w14:textId="77777777">
      <w:pPr>
        <w:suppressAutoHyphens/>
        <w:overflowPunct/>
        <w:autoSpaceDE/>
        <w:adjustRightInd/>
        <w:textAlignment w:val="auto"/>
      </w:pPr>
    </w:p>
    <w:p w:rsidRPr="00936117" w:rsidR="00105AE8" w:rsidP="005B4023" w:rsidRDefault="00A36318" w14:paraId="695C1368" w14:textId="6AC85A8B">
      <w:pPr>
        <w:numPr>
          <w:ilvl w:val="0"/>
          <w:numId w:val="16"/>
        </w:numPr>
        <w:tabs>
          <w:tab w:val="num" w:pos="567"/>
        </w:tabs>
        <w:suppressAutoHyphens/>
        <w:overflowPunct/>
        <w:autoSpaceDE/>
        <w:adjustRightInd/>
        <w:ind w:left="567" w:hanging="567"/>
        <w:textAlignment w:val="auto"/>
      </w:pPr>
      <w:r w:rsidRPr="00936117">
        <w:t>calls for closer coordination between enforcement authorities and more effective implementation of existing legislation</w:t>
      </w:r>
      <w:r w:rsidRPr="00936117" w:rsidR="00A703FC">
        <w:t>, moving towards a more effective</w:t>
      </w:r>
      <w:r w:rsidRPr="00936117" w:rsidR="004C1D68">
        <w:t xml:space="preserve">, interoperable and secure </w:t>
      </w:r>
      <w:r w:rsidRPr="00936117" w:rsidR="00A703FC">
        <w:t xml:space="preserve">cross-border complaints system </w:t>
      </w:r>
      <w:r w:rsidRPr="00936117" w:rsidR="00CD27BE">
        <w:t xml:space="preserve">that facilitates the exchange and transfer of </w:t>
      </w:r>
      <w:r w:rsidRPr="00936117" w:rsidR="00A703FC">
        <w:t>relevant data</w:t>
      </w:r>
      <w:r w:rsidRPr="00936117" w:rsidR="00E91E9E">
        <w:t xml:space="preserve"> between the national, regional and local authorities responsible, avoiding duplication and shortening response times for consumers</w:t>
      </w:r>
      <w:r w:rsidRPr="00936117">
        <w:t>; points out that although EU-based companies are making major efforts to comply with legal requirements</w:t>
      </w:r>
      <w:r w:rsidRPr="00936117" w:rsidR="00296335">
        <w:t>,</w:t>
      </w:r>
      <w:r w:rsidRPr="00936117" w:rsidR="00A703FC">
        <w:t xml:space="preserve"> stresses that</w:t>
      </w:r>
      <w:r w:rsidRPr="00936117">
        <w:t xml:space="preserve"> unfair commercial practices </w:t>
      </w:r>
      <w:r w:rsidRPr="00936117" w:rsidR="00A703FC">
        <w:t xml:space="preserve">including </w:t>
      </w:r>
      <w:r w:rsidRPr="00936117">
        <w:t xml:space="preserve">misleading advertising, marketing of unsafe products, addictive design features in digital services and unfair personalisation practices are still widespread among some e-commerce operators from outside </w:t>
      </w:r>
      <w:r w:rsidRPr="00936117" w:rsidR="00A703FC">
        <w:t xml:space="preserve">the EU and some established within </w:t>
      </w:r>
      <w:r w:rsidRPr="00936117">
        <w:t>the EU;</w:t>
      </w:r>
    </w:p>
    <w:p w:rsidRPr="00936117" w:rsidR="00A703FC" w:rsidP="00FD569D" w:rsidRDefault="00A703FC" w14:paraId="333576B4" w14:textId="77777777">
      <w:pPr>
        <w:suppressAutoHyphens/>
        <w:overflowPunct/>
        <w:autoSpaceDE/>
        <w:adjustRightInd/>
        <w:textAlignment w:val="auto"/>
      </w:pPr>
    </w:p>
    <w:p w:rsidRPr="00936117" w:rsidR="00A703FC" w:rsidP="005B4023" w:rsidRDefault="000B1166" w14:paraId="1F105F4C" w14:textId="01910D34">
      <w:pPr>
        <w:numPr>
          <w:ilvl w:val="0"/>
          <w:numId w:val="16"/>
        </w:numPr>
        <w:tabs>
          <w:tab w:val="num" w:pos="567"/>
        </w:tabs>
        <w:suppressAutoHyphens/>
        <w:overflowPunct/>
        <w:autoSpaceDE/>
        <w:adjustRightInd/>
        <w:ind w:left="567" w:hanging="567"/>
        <w:textAlignment w:val="auto"/>
      </w:pPr>
      <w:r w:rsidRPr="00936117">
        <w:t>u</w:t>
      </w:r>
      <w:r w:rsidRPr="00936117" w:rsidR="00A703FC">
        <w:t>nderlines the importance of making full and effective use of existing consumer protection tools, including the enforcement mechanisms provided for under the Digital Services Act, to address clear and systematic breaches, while ensuring legal certainty and proportionality for economic operators;</w:t>
      </w:r>
    </w:p>
    <w:p w:rsidRPr="00936117" w:rsidR="00105AE8" w:rsidP="00FD569D" w:rsidRDefault="00105AE8" w14:paraId="0FC5E699" w14:textId="77777777">
      <w:pPr>
        <w:suppressAutoHyphens/>
        <w:overflowPunct/>
        <w:autoSpaceDE/>
        <w:adjustRightInd/>
        <w:textAlignment w:val="auto"/>
      </w:pPr>
    </w:p>
    <w:p w:rsidRPr="00936117" w:rsidR="00105AE8" w:rsidP="005B4023" w:rsidRDefault="00A36318" w14:paraId="4D1FFCD9" w14:textId="4DC434BE">
      <w:pPr>
        <w:numPr>
          <w:ilvl w:val="0"/>
          <w:numId w:val="16"/>
        </w:numPr>
        <w:tabs>
          <w:tab w:val="num" w:pos="567"/>
        </w:tabs>
        <w:suppressAutoHyphens/>
        <w:overflowPunct/>
        <w:autoSpaceDE/>
        <w:adjustRightInd/>
        <w:ind w:left="567" w:hanging="567"/>
        <w:textAlignment w:val="auto"/>
      </w:pPr>
      <w:r w:rsidRPr="00936117">
        <w:t>supports strengthening the Consumer Protection Cooperation Network in conjunction with local and regional authorities. The network allows local authorities to exchange information quickly on cross-border infringements and coordinate monitoring with customs authorities in relation to unsafe imports, ensuring strong consumer protection and a level playing field for all businesses that serve EU consumers, regardless of where they are located;</w:t>
      </w:r>
      <w:r w:rsidRPr="00936117" w:rsidR="00833032">
        <w:t xml:space="preserve"> calls for the network to also facilitate the exchange of information on repeated infringements, enabling competent authorities to better identify and act against recidivism and organised fraud across borders;</w:t>
      </w:r>
    </w:p>
    <w:p w:rsidRPr="00936117" w:rsidR="00105AE8" w:rsidP="00FD569D" w:rsidRDefault="00105AE8" w14:paraId="691FD33A" w14:textId="77777777">
      <w:pPr>
        <w:suppressAutoHyphens/>
        <w:overflowPunct/>
        <w:autoSpaceDE/>
        <w:adjustRightInd/>
        <w:textAlignment w:val="auto"/>
      </w:pPr>
    </w:p>
    <w:p w:rsidRPr="00936117" w:rsidR="00105AE8" w:rsidP="005B4023" w:rsidRDefault="00A36318" w14:paraId="05049560" w14:textId="6354B429">
      <w:pPr>
        <w:numPr>
          <w:ilvl w:val="0"/>
          <w:numId w:val="16"/>
        </w:numPr>
        <w:tabs>
          <w:tab w:val="num" w:pos="567"/>
        </w:tabs>
        <w:suppressAutoHyphens/>
        <w:overflowPunct/>
        <w:autoSpaceDE/>
        <w:adjustRightInd/>
        <w:ind w:left="567" w:hanging="567"/>
        <w:textAlignment w:val="auto"/>
      </w:pPr>
      <w:r w:rsidRPr="00936117">
        <w:t>insists that an assessment be made of the impact of the new Digital Fairness Act and of the changes in the Consumer Protection Cooperation Regulation on local and regional authorities. This assessment must include guidelines to simplify compliance for small and micro-enterprises and to avoid red tape in border regions;</w:t>
      </w:r>
      <w:r w:rsidRPr="00936117" w:rsidR="000563CA">
        <w:t xml:space="preserve"> calls explicitly for a dedicated proportionality test for all new consumer legislation affecting small local producers, artisanal producers and short supply chain actors, so that compliance obligations are designed from the outset to be easy to implement at local level without compromising consumer safety or fair competition;</w:t>
      </w:r>
    </w:p>
    <w:p w:rsidRPr="00936117" w:rsidR="00A703FC" w:rsidP="005B4023" w:rsidRDefault="00A703FC" w14:paraId="5E27C9BD" w14:textId="77777777">
      <w:pPr>
        <w:suppressAutoHyphens/>
        <w:overflowPunct/>
        <w:autoSpaceDE/>
        <w:adjustRightInd/>
        <w:textAlignment w:val="auto"/>
      </w:pPr>
    </w:p>
    <w:p w:rsidRPr="00936117" w:rsidR="00A703FC" w:rsidP="005B4023" w:rsidRDefault="00A703FC" w14:paraId="09C0A510" w14:textId="2789E5B2">
      <w:pPr>
        <w:numPr>
          <w:ilvl w:val="0"/>
          <w:numId w:val="16"/>
        </w:numPr>
        <w:tabs>
          <w:tab w:val="num" w:pos="567"/>
        </w:tabs>
        <w:suppressAutoHyphens/>
        <w:overflowPunct/>
        <w:autoSpaceDE/>
        <w:adjustRightInd/>
        <w:ind w:left="567" w:hanging="567"/>
        <w:textAlignment w:val="auto"/>
      </w:pPr>
      <w:r w:rsidRPr="00936117">
        <w:t>warns against the proliferation of misleading environmental claims that distort consumer choice and undermine confidence in sustainability related information; underlines the need for effective and proportionate enforcement of existing EU consumer protection rules, including recently adopted horizontal consumer legislation, in order to address clear cases of greenwashing; highlights that local and regional authorities, within their competences, can contribute to monitoring market practices; stresses that consumer trust in sustainability labels depends on legal clarity, consistent implementation and coordinated enforcement across all levels of governance;</w:t>
      </w:r>
    </w:p>
    <w:p w:rsidRPr="00936117" w:rsidR="00A703FC" w:rsidP="00FD569D" w:rsidRDefault="00A703FC" w14:paraId="3CB15FFB" w14:textId="77777777">
      <w:pPr>
        <w:suppressAutoHyphens/>
        <w:overflowPunct/>
        <w:autoSpaceDE/>
        <w:adjustRightInd/>
        <w:textAlignment w:val="auto"/>
      </w:pPr>
    </w:p>
    <w:p w:rsidRPr="00936117" w:rsidR="00A703FC" w:rsidP="005B4023" w:rsidRDefault="00A703FC" w14:paraId="06508CEE" w14:textId="03D08FE6">
      <w:pPr>
        <w:numPr>
          <w:ilvl w:val="0"/>
          <w:numId w:val="16"/>
        </w:numPr>
        <w:tabs>
          <w:tab w:val="num" w:pos="567"/>
        </w:tabs>
        <w:suppressAutoHyphens/>
        <w:overflowPunct/>
        <w:autoSpaceDE/>
        <w:adjustRightInd/>
        <w:ind w:left="567" w:hanging="567"/>
        <w:textAlignment w:val="auto"/>
      </w:pPr>
      <w:r w:rsidRPr="00936117">
        <w:t>calls for the full and effective transposition and implementation of the Representative Actions Directive in all Member States, ensuring that consumer organisations and qualified entities have the standing and resources to bring collective redress actions on behalf of consumers, including in cross-border cases; stresses that individual redress mechanisms alone are insufficient to address systematic violations by powerful market actors, particularly in digital markets, and that collective action tools are essential to restore the balance of power between consumers and large platforms;</w:t>
      </w:r>
    </w:p>
    <w:p w:rsidRPr="00936117" w:rsidR="00105AE8" w:rsidP="00FD569D" w:rsidRDefault="00105AE8" w14:paraId="794D6CA7" w14:textId="77777777">
      <w:pPr>
        <w:suppressAutoHyphens/>
        <w:overflowPunct/>
        <w:autoSpaceDE/>
        <w:adjustRightInd/>
        <w:textAlignment w:val="auto"/>
      </w:pPr>
    </w:p>
    <w:p w:rsidRPr="00936117" w:rsidR="00B237FB" w:rsidP="005B4023" w:rsidRDefault="00A36318" w14:paraId="0D33649D" w14:textId="545D9516">
      <w:pPr>
        <w:numPr>
          <w:ilvl w:val="0"/>
          <w:numId w:val="16"/>
        </w:numPr>
        <w:tabs>
          <w:tab w:val="num" w:pos="567"/>
        </w:tabs>
        <w:suppressAutoHyphens/>
        <w:overflowPunct/>
        <w:autoSpaceDE/>
        <w:adjustRightInd/>
        <w:ind w:left="567" w:hanging="567"/>
        <w:textAlignment w:val="auto"/>
      </w:pPr>
      <w:r w:rsidRPr="00936117">
        <w:t>calls for awareness raising and sharing of expertise between national and regional authorities, businesses and citizens on existing tools and legislation, including through the exchange of best practices, dedicated discussion forums and EU-level guidance and resources for competent authorities;</w:t>
      </w:r>
    </w:p>
    <w:p w:rsidRPr="00936117" w:rsidR="005B3B16" w:rsidP="00FD569D" w:rsidRDefault="005B3B16" w14:paraId="4F54C5E2" w14:textId="77777777">
      <w:pPr>
        <w:suppressAutoHyphens/>
        <w:overflowPunct/>
        <w:autoSpaceDE/>
        <w:adjustRightInd/>
        <w:textAlignment w:val="auto"/>
      </w:pPr>
    </w:p>
    <w:p w:rsidRPr="00936117" w:rsidR="00B237FB" w:rsidP="005B4023" w:rsidRDefault="00B237FB" w14:paraId="64BE10DA" w14:textId="6477A479">
      <w:pPr>
        <w:keepNext/>
        <w:keepLines/>
        <w:suppressAutoHyphens/>
        <w:overflowPunct/>
        <w:autoSpaceDE/>
        <w:adjustRightInd/>
        <w:textAlignment w:val="auto"/>
        <w:rPr>
          <w:b/>
          <w:bCs/>
        </w:rPr>
      </w:pPr>
      <w:r w:rsidRPr="00936117">
        <w:rPr>
          <w:b/>
        </w:rPr>
        <w:t>Local and regional dimension</w:t>
      </w:r>
    </w:p>
    <w:p w:rsidRPr="00936117" w:rsidR="00B237FB" w:rsidP="005B4023" w:rsidRDefault="00B237FB" w14:paraId="17EFC57A" w14:textId="77777777">
      <w:pPr>
        <w:keepNext/>
        <w:keepLines/>
        <w:suppressAutoHyphens/>
        <w:overflowPunct/>
        <w:autoSpaceDE/>
        <w:adjustRightInd/>
        <w:textAlignment w:val="auto"/>
      </w:pPr>
    </w:p>
    <w:p w:rsidR="009058C9" w:rsidP="005B4023" w:rsidRDefault="00A36318" w14:paraId="751C877E" w14:textId="2346898C">
      <w:pPr>
        <w:numPr>
          <w:ilvl w:val="0"/>
          <w:numId w:val="16"/>
        </w:numPr>
        <w:tabs>
          <w:tab w:val="num" w:pos="567"/>
        </w:tabs>
        <w:suppressAutoHyphens/>
        <w:overflowPunct/>
        <w:autoSpaceDE/>
        <w:adjustRightInd/>
        <w:ind w:left="567" w:hanging="567"/>
        <w:textAlignment w:val="auto"/>
      </w:pPr>
      <w:r w:rsidRPr="00936117">
        <w:t>draws attention to the cross-border barriers faced by local and regional authorities, including problems such as discrimination based on IBAN number or limited access to financial services; calls for one-stop shops to be set up to facilitate cross-border cooperation and for them to be included in INTERREG programmes;</w:t>
      </w:r>
    </w:p>
    <w:p w:rsidRPr="00936117" w:rsidR="00936117" w:rsidP="00FD569D" w:rsidRDefault="00936117" w14:paraId="1D747185" w14:textId="77777777">
      <w:pPr>
        <w:suppressAutoHyphens/>
        <w:overflowPunct/>
        <w:autoSpaceDE/>
        <w:adjustRightInd/>
        <w:textAlignment w:val="auto"/>
      </w:pPr>
    </w:p>
    <w:p w:rsidR="00936117" w:rsidP="005B4023" w:rsidRDefault="005427C1" w14:paraId="2788053C" w14:textId="64178DDC">
      <w:pPr>
        <w:numPr>
          <w:ilvl w:val="0"/>
          <w:numId w:val="16"/>
        </w:numPr>
        <w:tabs>
          <w:tab w:val="num" w:pos="567"/>
        </w:tabs>
        <w:suppressAutoHyphens/>
        <w:overflowPunct/>
        <w:autoSpaceDE/>
        <w:adjustRightInd/>
        <w:ind w:left="567" w:hanging="567"/>
        <w:textAlignment w:val="auto"/>
      </w:pPr>
      <w:r w:rsidRPr="00936117">
        <w:t>calls for local and regional data (Eurostat regional yearbook) to monitor the impact of the Consumer Agenda on local and regional authorities, particularly in less developed regions, to ensure consistent implementation and evaluation of consumer policy;</w:t>
      </w:r>
      <w:r w:rsidRPr="00936117" w:rsidR="000327A3">
        <w:t xml:space="preserve"> considers, furthermore, that such data should include, wherever possible, comparable indicators on complaints, exposure to fraud, financial and digital vulnerability, access to information services and changes in the cost of living, in order to enable a real territorial assessment of the Agenda and its implementation</w:t>
      </w:r>
      <w:r w:rsidR="003772D6">
        <w:t>,</w:t>
      </w:r>
      <w:r w:rsidRPr="00936117" w:rsidR="000327A3">
        <w:t xml:space="preserve"> including in regions facing structural or geographic disadvantages;</w:t>
      </w:r>
    </w:p>
    <w:p w:rsidRPr="00936117" w:rsidR="009058C9" w:rsidP="00FD569D" w:rsidRDefault="009058C9" w14:paraId="6286D226" w14:textId="76AA0E21">
      <w:pPr>
        <w:suppressAutoHyphens/>
        <w:overflowPunct/>
        <w:autoSpaceDE/>
        <w:adjustRightInd/>
        <w:textAlignment w:val="auto"/>
      </w:pPr>
    </w:p>
    <w:p w:rsidRPr="00936117" w:rsidR="009058C9" w:rsidP="005B4023" w:rsidRDefault="005427C1" w14:paraId="6938F2DD" w14:textId="34B422D6">
      <w:pPr>
        <w:numPr>
          <w:ilvl w:val="0"/>
          <w:numId w:val="16"/>
        </w:numPr>
        <w:tabs>
          <w:tab w:val="num" w:pos="567"/>
        </w:tabs>
        <w:suppressAutoHyphens/>
        <w:overflowPunct/>
        <w:autoSpaceDE/>
        <w:adjustRightInd/>
        <w:ind w:left="567" w:hanging="567"/>
        <w:textAlignment w:val="auto"/>
      </w:pPr>
      <w:r w:rsidRPr="00936117">
        <w:t>calls for local and regional authorities to give priority to handling complaints from vulnerable consumers through hotlines, cheap alternative dispute resolution methods or online dispute resolution and programmes to combat fraud, taking advantage of their proximity to groups such as senior citizens and children;</w:t>
      </w:r>
    </w:p>
    <w:p w:rsidRPr="00936117" w:rsidR="000B1166" w:rsidP="00FD569D" w:rsidRDefault="000B1166" w14:paraId="3F13E981" w14:textId="77777777">
      <w:pPr>
        <w:suppressAutoHyphens/>
        <w:overflowPunct/>
        <w:autoSpaceDE/>
        <w:adjustRightInd/>
        <w:textAlignment w:val="auto"/>
      </w:pPr>
    </w:p>
    <w:p w:rsidRPr="00936117" w:rsidR="009058C9" w:rsidP="005B4023" w:rsidRDefault="005427C1" w14:paraId="6ACED845" w14:textId="63318043">
      <w:pPr>
        <w:numPr>
          <w:ilvl w:val="0"/>
          <w:numId w:val="16"/>
        </w:numPr>
        <w:tabs>
          <w:tab w:val="num" w:pos="567"/>
        </w:tabs>
        <w:suppressAutoHyphens/>
        <w:overflowPunct/>
        <w:autoSpaceDE/>
        <w:adjustRightInd/>
        <w:ind w:left="567" w:hanging="567"/>
        <w:textAlignment w:val="auto"/>
      </w:pPr>
      <w:r w:rsidRPr="00936117">
        <w:t xml:space="preserve">draws attention to the significant </w:t>
      </w:r>
      <w:r w:rsidRPr="00936117" w:rsidR="00A26F2E">
        <w:t xml:space="preserve">and growing </w:t>
      </w:r>
      <w:r w:rsidRPr="00936117">
        <w:t xml:space="preserve">impact of </w:t>
      </w:r>
      <w:r w:rsidRPr="00936117" w:rsidR="00A26F2E">
        <w:t>artificial intelligence</w:t>
      </w:r>
      <w:r w:rsidRPr="00936117" w:rsidDel="00A26F2E" w:rsidR="00A26F2E">
        <w:t xml:space="preserve"> </w:t>
      </w:r>
      <w:r w:rsidRPr="00936117">
        <w:t>on consumer protection</w:t>
      </w:r>
      <w:r w:rsidRPr="00936117" w:rsidR="00A26F2E">
        <w:t>, including practices such as AI driven personalised pricing, automated contract terms, algorithmic content curation</w:t>
      </w:r>
      <w:r w:rsidRPr="00936117">
        <w:t xml:space="preserve"> and </w:t>
      </w:r>
      <w:r w:rsidRPr="00936117" w:rsidR="00A26F2E">
        <w:t>AI generated commercial communications, which can affect consumer decision making at scale; underlines</w:t>
      </w:r>
      <w:r w:rsidRPr="00936117" w:rsidDel="00A26F2E" w:rsidR="00A26F2E">
        <w:t xml:space="preserve"> </w:t>
      </w:r>
      <w:r w:rsidRPr="00936117">
        <w:t xml:space="preserve">the </w:t>
      </w:r>
      <w:r w:rsidRPr="00936117" w:rsidR="00A26F2E">
        <w:t>importance of ensuring that the consumer protection safeguards included in the</w:t>
      </w:r>
      <w:r w:rsidRPr="00936117" w:rsidDel="00A26F2E" w:rsidR="00A26F2E">
        <w:t xml:space="preserve"> </w:t>
      </w:r>
      <w:r w:rsidRPr="00936117">
        <w:t>AI</w:t>
      </w:r>
      <w:r w:rsidRPr="00936117" w:rsidR="00A26F2E">
        <w:t xml:space="preserve"> Act are implemented effectively and, where necessary, complemented by targeted and proportionate measures under the proposed Digital Fairness framework, stresses that greater legal clarity regarding AI related consumer risks is a key precondition for innovation, trust and the development of competitive European digital markets, and that any further regulatory action should be carefully calibrated so as not</w:t>
      </w:r>
      <w:r w:rsidRPr="00936117">
        <w:t xml:space="preserve"> to </w:t>
      </w:r>
      <w:r w:rsidRPr="00936117" w:rsidR="00A26F2E">
        <w:t>undermine</w:t>
      </w:r>
      <w:r w:rsidRPr="00936117" w:rsidDel="00A26F2E" w:rsidR="00A26F2E">
        <w:t xml:space="preserve"> </w:t>
      </w:r>
      <w:r w:rsidRPr="00936117">
        <w:t xml:space="preserve">the EU’s </w:t>
      </w:r>
      <w:r w:rsidRPr="00936117" w:rsidR="00A26F2E">
        <w:t xml:space="preserve">technological </w:t>
      </w:r>
      <w:r w:rsidRPr="00936117">
        <w:t>competitiveness;</w:t>
      </w:r>
    </w:p>
    <w:p w:rsidRPr="00936117" w:rsidR="00296335" w:rsidP="00FD569D" w:rsidRDefault="00296335" w14:paraId="0E684B6F" w14:textId="77777777">
      <w:pPr>
        <w:suppressAutoHyphens/>
        <w:overflowPunct/>
        <w:autoSpaceDE/>
        <w:adjustRightInd/>
        <w:textAlignment w:val="auto"/>
      </w:pPr>
    </w:p>
    <w:p w:rsidRPr="00936117" w:rsidR="009058C9" w:rsidP="005B4023" w:rsidRDefault="005427C1" w14:paraId="1C4BB19A" w14:textId="7D126D04">
      <w:pPr>
        <w:numPr>
          <w:ilvl w:val="0"/>
          <w:numId w:val="16"/>
        </w:numPr>
        <w:tabs>
          <w:tab w:val="num" w:pos="567"/>
        </w:tabs>
        <w:suppressAutoHyphens/>
        <w:overflowPunct/>
        <w:autoSpaceDE/>
        <w:adjustRightInd/>
        <w:ind w:left="567" w:hanging="567"/>
        <w:textAlignment w:val="auto"/>
      </w:pPr>
      <w:r w:rsidRPr="00936117">
        <w:t>emphasises that exploiting consumers’ vulnerabilities has become a widespread feature of business strategies, rather than an exception; points, therefore, to the need for preventive action rather than only reacting only after the event, particularly where there is strong pressure and intense influence on purchasing decisions;</w:t>
      </w:r>
    </w:p>
    <w:p w:rsidRPr="00936117" w:rsidR="00296335" w:rsidP="00FD569D" w:rsidRDefault="00296335" w14:paraId="2AA1C8D6" w14:textId="77777777">
      <w:pPr>
        <w:suppressAutoHyphens/>
        <w:overflowPunct/>
        <w:autoSpaceDE/>
        <w:adjustRightInd/>
        <w:textAlignment w:val="auto"/>
      </w:pPr>
    </w:p>
    <w:p w:rsidRPr="00936117" w:rsidR="00946723" w:rsidP="005B4023" w:rsidRDefault="005427C1" w14:paraId="05B580EB" w14:textId="1685EB55">
      <w:pPr>
        <w:numPr>
          <w:ilvl w:val="0"/>
          <w:numId w:val="16"/>
        </w:numPr>
        <w:tabs>
          <w:tab w:val="num" w:pos="567"/>
        </w:tabs>
        <w:suppressAutoHyphens/>
        <w:overflowPunct/>
        <w:autoSpaceDE/>
        <w:adjustRightInd/>
        <w:ind w:left="567" w:hanging="567"/>
        <w:textAlignment w:val="auto"/>
      </w:pPr>
      <w:r w:rsidRPr="00936117">
        <w:t xml:space="preserve">points out that new technologies are not inherently problematic, but rather that challenges arise from how they are managed; underlines that local and regional authorities must therefore address the consequences of this, including issues related to cross-border online purchases and the growing second-hand market; </w:t>
      </w:r>
    </w:p>
    <w:p w:rsidRPr="00936117" w:rsidR="00946723" w:rsidP="00FD569D" w:rsidRDefault="00946723" w14:paraId="5AE3BB21" w14:textId="77777777">
      <w:pPr>
        <w:suppressAutoHyphens/>
        <w:overflowPunct/>
        <w:autoSpaceDE/>
        <w:adjustRightInd/>
        <w:textAlignment w:val="auto"/>
      </w:pPr>
    </w:p>
    <w:p w:rsidRPr="00936117" w:rsidR="009058C9" w:rsidP="005B4023" w:rsidRDefault="00946723" w14:paraId="1EE90F07" w14:textId="6EAA7906">
      <w:pPr>
        <w:numPr>
          <w:ilvl w:val="0"/>
          <w:numId w:val="16"/>
        </w:numPr>
        <w:tabs>
          <w:tab w:val="num" w:pos="567"/>
        </w:tabs>
        <w:suppressAutoHyphens/>
        <w:overflowPunct/>
        <w:autoSpaceDE/>
        <w:adjustRightInd/>
        <w:ind w:left="567" w:hanging="567"/>
        <w:textAlignment w:val="auto"/>
      </w:pPr>
      <w:r w:rsidRPr="00936117">
        <w:t>draws attention to the exposure of consumers to predatory financial practices at local level, including high-cost credit, aggressive debt collection, complex mortgage products and inadequate disclosure of financial risks; calls on the Commission to ensure that the Consumer Credit Directive review and the Retail Investment Strategy adequately address the situation of low-income and financially vulnerable consumers</w:t>
      </w:r>
      <w:r w:rsidR="003772D6">
        <w:t>;</w:t>
      </w:r>
      <w:r w:rsidRPr="00936117">
        <w:t xml:space="preserve"> </w:t>
      </w:r>
      <w:r w:rsidRPr="00936117" w:rsidR="00055189">
        <w:t>notes</w:t>
      </w:r>
      <w:r w:rsidRPr="00936117" w:rsidDel="00E81AD3" w:rsidR="00055189">
        <w:t xml:space="preserve"> </w:t>
      </w:r>
      <w:r w:rsidRPr="00936117">
        <w:t xml:space="preserve">that </w:t>
      </w:r>
      <w:r w:rsidRPr="00936117" w:rsidR="00BD7F16">
        <w:t>consumers in structurally disadvantaged or remote regions may face limited</w:t>
      </w:r>
      <w:r w:rsidRPr="00936117" w:rsidDel="00061340" w:rsidR="00BD7F16">
        <w:t xml:space="preserve"> </w:t>
      </w:r>
      <w:r w:rsidRPr="00936117">
        <w:t xml:space="preserve">access to financial </w:t>
      </w:r>
      <w:r w:rsidRPr="00936117" w:rsidR="00E55227">
        <w:t>products</w:t>
      </w:r>
      <w:r w:rsidRPr="00936117" w:rsidDel="00061340" w:rsidR="00E55227">
        <w:t xml:space="preserve"> </w:t>
      </w:r>
      <w:r w:rsidRPr="00936117">
        <w:t>and services</w:t>
      </w:r>
      <w:r w:rsidRPr="00936117" w:rsidR="00E55227">
        <w:t>;</w:t>
      </w:r>
      <w:r w:rsidRPr="00936117">
        <w:t xml:space="preserve"> </w:t>
      </w:r>
      <w:r w:rsidRPr="00936117" w:rsidR="00A57C9F">
        <w:t xml:space="preserve">calls </w:t>
      </w:r>
      <w:r w:rsidRPr="00936117">
        <w:t>for</w:t>
      </w:r>
      <w:r w:rsidRPr="00936117" w:rsidR="00E94376">
        <w:t xml:space="preserve"> more accessible digital solutions and tailored local support</w:t>
      </w:r>
      <w:r w:rsidRPr="00936117">
        <w:t>;</w:t>
      </w:r>
    </w:p>
    <w:p w:rsidRPr="00936117" w:rsidR="00296335" w:rsidP="00FD569D" w:rsidRDefault="00296335" w14:paraId="22671EBD" w14:textId="77777777">
      <w:pPr>
        <w:suppressAutoHyphens/>
        <w:overflowPunct/>
        <w:autoSpaceDE/>
        <w:adjustRightInd/>
        <w:textAlignment w:val="auto"/>
      </w:pPr>
    </w:p>
    <w:p w:rsidRPr="00936117" w:rsidR="009058C9" w:rsidP="005B4023" w:rsidRDefault="005427C1" w14:paraId="6DF24E37" w14:textId="1601FA18">
      <w:pPr>
        <w:numPr>
          <w:ilvl w:val="0"/>
          <w:numId w:val="16"/>
        </w:numPr>
        <w:tabs>
          <w:tab w:val="num" w:pos="567"/>
        </w:tabs>
        <w:suppressAutoHyphens/>
        <w:overflowPunct/>
        <w:autoSpaceDE/>
        <w:adjustRightInd/>
        <w:ind w:left="567" w:hanging="567"/>
        <w:textAlignment w:val="auto"/>
      </w:pPr>
      <w:r w:rsidRPr="00936117">
        <w:t>recognises that consumer protection is a highly cross-cutting policy area that contributes to a fairer and more sustainable EU market, ensuring that consumer protection coexists with economic competitiveness; stresses the importance of involving local and regional authorities in preventive oversight mechanisms, particularly with regard to AI and manipulative commercial practices;</w:t>
      </w:r>
    </w:p>
    <w:p w:rsidRPr="00936117" w:rsidR="00296335" w:rsidP="00FD569D" w:rsidRDefault="00296335" w14:paraId="3853EAB2" w14:textId="77777777">
      <w:pPr>
        <w:suppressAutoHyphens/>
        <w:overflowPunct/>
        <w:autoSpaceDE/>
        <w:adjustRightInd/>
        <w:textAlignment w:val="auto"/>
      </w:pPr>
    </w:p>
    <w:p w:rsidRPr="00936117" w:rsidR="009058C9" w:rsidP="005B4023" w:rsidRDefault="005427C1" w14:paraId="2A1BBC2D" w14:textId="1CF1BC5D">
      <w:pPr>
        <w:numPr>
          <w:ilvl w:val="0"/>
          <w:numId w:val="16"/>
        </w:numPr>
        <w:tabs>
          <w:tab w:val="num" w:pos="567"/>
        </w:tabs>
        <w:suppressAutoHyphens/>
        <w:overflowPunct/>
        <w:autoSpaceDE/>
        <w:adjustRightInd/>
        <w:ind w:left="567" w:hanging="567"/>
        <w:textAlignment w:val="auto"/>
      </w:pPr>
      <w:r w:rsidRPr="00936117">
        <w:t>insists that local and regional authorities be provided with the right tools, skills and resources to make better use of their potential to implement the Consumer Agenda for the benefit of consumers, businesses and the cohesion of the single market, while taking into account the differences between EU regions in terms of capacities and tools for enforcement and consumer support</w:t>
      </w:r>
      <w:r w:rsidRPr="00936117" w:rsidR="00BE5385">
        <w:t>; considers, furthermore, that such support should include models for the provision of consumer services based on agreements between local and regional administrations and consumer organisations</w:t>
      </w:r>
      <w:r w:rsidR="003772D6">
        <w:t>,</w:t>
      </w:r>
      <w:r w:rsidRPr="00936117" w:rsidR="00BE5385">
        <w:t xml:space="preserve"> as well as the structural differences of the outermost regions, in line with Article 349 TFEU;</w:t>
      </w:r>
    </w:p>
    <w:p w:rsidRPr="00936117" w:rsidR="00C339F1" w:rsidP="00FD569D" w:rsidRDefault="00C339F1" w14:paraId="3EB53F07" w14:textId="77777777">
      <w:pPr>
        <w:suppressAutoHyphens/>
        <w:overflowPunct/>
        <w:autoSpaceDE/>
        <w:adjustRightInd/>
        <w:textAlignment w:val="auto"/>
      </w:pPr>
    </w:p>
    <w:p w:rsidRPr="00936117" w:rsidR="00C339F1" w:rsidP="005B4023" w:rsidRDefault="00F26926" w14:paraId="44EED1D1" w14:textId="2A5EF2E5">
      <w:pPr>
        <w:numPr>
          <w:ilvl w:val="0"/>
          <w:numId w:val="16"/>
        </w:numPr>
        <w:tabs>
          <w:tab w:val="num" w:pos="567"/>
        </w:tabs>
        <w:suppressAutoHyphens/>
        <w:overflowPunct/>
        <w:autoSpaceDE/>
        <w:adjustRightInd/>
        <w:ind w:left="567" w:hanging="567"/>
        <w:textAlignment w:val="auto"/>
      </w:pPr>
      <w:r w:rsidRPr="00936117">
        <w:t>points out that, in accordance with Article 174 TFEU, the EU must pay particular attention to regions that suffer from severe and permanent natural or demographic handicaps, including island regions; considers, therefore, that the 2030 Consumer Agenda should include a territorial perspective that takes into account the impact of insularity on consumers, ensuring effective equal access to goods, services, complaint mechanisms and opportunities offered by the single market.</w:t>
      </w:r>
    </w:p>
    <w:p w:rsidRPr="00936117" w:rsidR="005157C2" w:rsidP="00FD569D" w:rsidRDefault="005157C2" w14:paraId="7C550733" w14:textId="77777777">
      <w:pPr>
        <w:suppressAutoHyphens/>
        <w:overflowPunct/>
        <w:autoSpaceDE/>
        <w:adjustRightInd/>
        <w:textAlignment w:val="auto"/>
      </w:pPr>
    </w:p>
    <w:p w:rsidR="00936117" w:rsidP="005B4023" w:rsidRDefault="002D1ACA" w14:paraId="279BEC44" w14:textId="77777777">
      <w:pPr>
        <w:textAlignment w:val="auto"/>
      </w:pPr>
      <w:r w:rsidRPr="00936117">
        <w:t xml:space="preserve">Brussels, </w:t>
      </w:r>
      <w:r w:rsidRPr="00936117" w:rsidR="006C1477">
        <w:t>2 July 2026</w:t>
      </w:r>
      <w:r w:rsidRPr="00936117" w:rsidR="007A37D4">
        <w:t>.</w:t>
      </w:r>
    </w:p>
    <w:p w:rsidRPr="00936117" w:rsidR="005B3B16" w:rsidP="005B4023" w:rsidRDefault="005B3B16" w14:paraId="78BA7F9B" w14:textId="00D405E5">
      <w:pPr>
        <w:textAlignment w:val="auto"/>
      </w:pPr>
    </w:p>
    <w:tbl>
      <w:tblPr>
        <w:tblW w:w="0" w:type="auto"/>
        <w:tblLayout w:type="fixed"/>
        <w:tblLook w:val="0000" w:firstRow="0" w:lastRow="0" w:firstColumn="0" w:lastColumn="0" w:noHBand="0" w:noVBand="0"/>
      </w:tblPr>
      <w:tblGrid>
        <w:gridCol w:w="4644"/>
        <w:gridCol w:w="4645"/>
      </w:tblGrid>
      <w:tr w:rsidRPr="00936117" w:rsidR="00667B1E" w14:paraId="5FA768CE" w14:textId="77777777">
        <w:tc>
          <w:tcPr>
            <w:tcW w:w="4644" w:type="dxa"/>
          </w:tcPr>
          <w:p w:rsidRPr="00936117" w:rsidR="00667B1E" w:rsidP="005B4023" w:rsidRDefault="00667B1E" w14:paraId="5E4FA6D0" w14:textId="77777777">
            <w:pPr>
              <w:overflowPunct/>
              <w:adjustRightInd/>
              <w:jc w:val="center"/>
              <w:textAlignment w:val="auto"/>
              <w:rPr>
                <w:i/>
                <w:iCs/>
              </w:rPr>
            </w:pPr>
            <w:r w:rsidRPr="00936117">
              <w:rPr>
                <w:i/>
                <w:iCs/>
              </w:rPr>
              <w:t>The President</w:t>
            </w:r>
            <w:r w:rsidRPr="00936117">
              <w:rPr>
                <w:i/>
                <w:iCs/>
              </w:rPr>
              <w:br/>
              <w:t>of the European Committee of the Regions</w:t>
            </w:r>
          </w:p>
          <w:p w:rsidRPr="00936117" w:rsidR="00667B1E" w:rsidP="005B4023" w:rsidRDefault="00667B1E" w14:paraId="30BF6888" w14:textId="77777777">
            <w:pPr>
              <w:overflowPunct/>
              <w:adjustRightInd/>
              <w:jc w:val="center"/>
              <w:textAlignment w:val="auto"/>
              <w:rPr>
                <w:i/>
                <w:iCs/>
              </w:rPr>
            </w:pPr>
          </w:p>
          <w:p w:rsidRPr="00936117" w:rsidR="00667B1E" w:rsidP="005B4023" w:rsidRDefault="00667B1E" w14:paraId="3A1A039F" w14:textId="77777777">
            <w:pPr>
              <w:overflowPunct/>
              <w:adjustRightInd/>
              <w:jc w:val="center"/>
              <w:textAlignment w:val="auto"/>
              <w:rPr>
                <w:i/>
                <w:iCs/>
              </w:rPr>
            </w:pPr>
          </w:p>
          <w:p w:rsidRPr="00936117" w:rsidR="00667B1E" w:rsidP="005B4023" w:rsidRDefault="00667B1E" w14:paraId="1309B8EA" w14:textId="77777777">
            <w:pPr>
              <w:overflowPunct/>
              <w:adjustRightInd/>
              <w:jc w:val="center"/>
              <w:textAlignment w:val="auto"/>
              <w:rPr>
                <w:i/>
                <w:iCs/>
              </w:rPr>
            </w:pPr>
          </w:p>
          <w:p w:rsidRPr="00936117" w:rsidR="00667B1E" w:rsidP="005B4023" w:rsidRDefault="00667B1E" w14:paraId="7707ADCA" w14:textId="77777777">
            <w:pPr>
              <w:overflowPunct/>
              <w:adjustRightInd/>
              <w:jc w:val="center"/>
              <w:textAlignment w:val="auto"/>
              <w:rPr>
                <w:i/>
                <w:iCs/>
              </w:rPr>
            </w:pPr>
          </w:p>
          <w:p w:rsidRPr="00936117" w:rsidR="00667B1E" w:rsidP="005B4023" w:rsidRDefault="00667B1E" w14:paraId="7CA314D7" w14:textId="2240558D">
            <w:pPr>
              <w:overflowPunct/>
              <w:adjustRightInd/>
              <w:jc w:val="center"/>
              <w:textAlignment w:val="auto"/>
              <w:rPr>
                <w:szCs w:val="22"/>
              </w:rPr>
            </w:pPr>
            <w:r w:rsidRPr="00936117">
              <w:t xml:space="preserve">Kata </w:t>
            </w:r>
            <w:r w:rsidRPr="00936117" w:rsidR="007A29F6">
              <w:t>TÜTTŐ</w:t>
            </w:r>
          </w:p>
        </w:tc>
        <w:tc>
          <w:tcPr>
            <w:tcW w:w="4645" w:type="dxa"/>
          </w:tcPr>
          <w:p w:rsidRPr="00936117" w:rsidR="00667B1E" w:rsidP="005B4023" w:rsidRDefault="00667B1E" w14:paraId="1763830E" w14:textId="77777777">
            <w:pPr>
              <w:overflowPunct/>
              <w:adjustRightInd/>
              <w:jc w:val="center"/>
              <w:textAlignment w:val="auto"/>
              <w:rPr>
                <w:szCs w:val="22"/>
              </w:rPr>
            </w:pPr>
          </w:p>
        </w:tc>
      </w:tr>
      <w:tr w:rsidRPr="00936117" w:rsidR="00667B1E" w14:paraId="08C8B7D7" w14:textId="77777777">
        <w:tc>
          <w:tcPr>
            <w:tcW w:w="4644" w:type="dxa"/>
          </w:tcPr>
          <w:p w:rsidRPr="00936117" w:rsidR="00667B1E" w:rsidP="005B4023" w:rsidRDefault="00667B1E" w14:paraId="346C93EF" w14:textId="77777777">
            <w:pPr>
              <w:overflowPunct/>
              <w:adjustRightInd/>
              <w:jc w:val="center"/>
              <w:textAlignment w:val="auto"/>
              <w:rPr>
                <w:szCs w:val="22"/>
              </w:rPr>
            </w:pPr>
          </w:p>
        </w:tc>
        <w:tc>
          <w:tcPr>
            <w:tcW w:w="4645" w:type="dxa"/>
          </w:tcPr>
          <w:p w:rsidRPr="00936117" w:rsidR="00667B1E" w:rsidP="005B4023" w:rsidRDefault="00667B1E" w14:paraId="4473FD48" w14:textId="77777777">
            <w:pPr>
              <w:overflowPunct/>
              <w:adjustRightInd/>
              <w:jc w:val="center"/>
              <w:textAlignment w:val="auto"/>
              <w:rPr>
                <w:i/>
                <w:iCs/>
                <w:color w:val="000000"/>
              </w:rPr>
            </w:pPr>
            <w:r w:rsidRPr="00936117">
              <w:rPr>
                <w:i/>
                <w:iCs/>
              </w:rPr>
              <w:t>The Secretary-General</w:t>
            </w:r>
            <w:r w:rsidRPr="00936117">
              <w:rPr>
                <w:i/>
                <w:iCs/>
              </w:rPr>
              <w:br/>
              <w:t>of the European Committee of the Re</w:t>
            </w:r>
            <w:r w:rsidRPr="00936117">
              <w:rPr>
                <w:i/>
                <w:iCs/>
                <w:color w:val="000000"/>
              </w:rPr>
              <w:t>gions</w:t>
            </w:r>
          </w:p>
          <w:p w:rsidRPr="00936117" w:rsidR="00667B1E" w:rsidP="005B4023" w:rsidRDefault="00667B1E" w14:paraId="30C89B9C" w14:textId="77777777">
            <w:pPr>
              <w:overflowPunct/>
              <w:adjustRightInd/>
              <w:jc w:val="center"/>
              <w:textAlignment w:val="auto"/>
              <w:rPr>
                <w:i/>
                <w:iCs/>
                <w:color w:val="000000"/>
              </w:rPr>
            </w:pPr>
          </w:p>
          <w:p w:rsidRPr="00936117" w:rsidR="00667B1E" w:rsidP="005B4023" w:rsidRDefault="00667B1E" w14:paraId="1B066B18" w14:textId="77777777">
            <w:pPr>
              <w:overflowPunct/>
              <w:adjustRightInd/>
              <w:jc w:val="center"/>
              <w:textAlignment w:val="auto"/>
              <w:rPr>
                <w:i/>
                <w:iCs/>
                <w:color w:val="000000"/>
              </w:rPr>
            </w:pPr>
          </w:p>
          <w:p w:rsidRPr="00936117" w:rsidR="00F35BC9" w:rsidP="005B4023" w:rsidRDefault="00F35BC9" w14:paraId="749774C2" w14:textId="77777777">
            <w:pPr>
              <w:overflowPunct/>
              <w:adjustRightInd/>
              <w:jc w:val="center"/>
              <w:textAlignment w:val="auto"/>
              <w:rPr>
                <w:i/>
                <w:iCs/>
                <w:color w:val="000000"/>
              </w:rPr>
            </w:pPr>
          </w:p>
          <w:p w:rsidRPr="00936117" w:rsidR="00667B1E" w:rsidP="005B4023" w:rsidRDefault="00667B1E" w14:paraId="60472CC4" w14:textId="77777777">
            <w:pPr>
              <w:overflowPunct/>
              <w:adjustRightInd/>
              <w:jc w:val="center"/>
              <w:textAlignment w:val="auto"/>
              <w:rPr>
                <w:i/>
                <w:iCs/>
                <w:color w:val="000000"/>
              </w:rPr>
            </w:pPr>
          </w:p>
          <w:p w:rsidRPr="00936117" w:rsidR="00667B1E" w:rsidP="005B4023" w:rsidRDefault="00F35BC9" w14:paraId="38AE10D6" w14:textId="6C90F755">
            <w:pPr>
              <w:overflowPunct/>
              <w:adjustRightInd/>
              <w:jc w:val="center"/>
              <w:textAlignment w:val="auto"/>
              <w:rPr>
                <w:szCs w:val="22"/>
              </w:rPr>
            </w:pPr>
            <w:r w:rsidRPr="00936117">
              <w:t xml:space="preserve">Petr </w:t>
            </w:r>
            <w:r w:rsidRPr="00936117" w:rsidR="007A29F6">
              <w:t>BLÍŽKOVSKÝ</w:t>
            </w:r>
          </w:p>
        </w:tc>
      </w:tr>
    </w:tbl>
    <w:p w:rsidRPr="00936117" w:rsidR="001C6A6B" w:rsidP="005B4023" w:rsidRDefault="001C6A6B" w14:paraId="0F72E63E" w14:textId="2F6C6B89">
      <w:pPr>
        <w:overflowPunct/>
        <w:autoSpaceDE/>
        <w:autoSpaceDN/>
        <w:adjustRightInd/>
        <w:jc w:val="left"/>
        <w:textAlignment w:val="auto"/>
      </w:pPr>
      <w:r w:rsidRPr="00936117">
        <w:br w:type="page"/>
      </w:r>
    </w:p>
    <w:p w:rsidRPr="00936117" w:rsidR="002D1ACA" w:rsidP="005B4023" w:rsidRDefault="002D1ACA" w14:paraId="483B1FD1" w14:textId="77777777">
      <w:pPr>
        <w:numPr>
          <w:ilvl w:val="0"/>
          <w:numId w:val="13"/>
        </w:numPr>
        <w:ind w:left="567" w:hanging="567"/>
        <w:rPr>
          <w:b/>
          <w:bCs/>
        </w:rPr>
      </w:pPr>
      <w:r w:rsidRPr="00936117">
        <w:rPr>
          <w:b/>
        </w:rPr>
        <w:t>PROCEDURE</w:t>
      </w:r>
    </w:p>
    <w:p w:rsidRPr="00936117" w:rsidR="002D1ACA" w:rsidP="005B4023" w:rsidRDefault="002D1ACA" w14:paraId="1F406567" w14:textId="77777777"/>
    <w:tbl>
      <w:tblPr>
        <w:tblW w:w="9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936117" w:rsidR="002D1ACA" w:rsidTr="00DC02E2" w14:paraId="6E766F96" w14:textId="77777777">
        <w:tc>
          <w:tcPr>
            <w:tcW w:w="3848" w:type="dxa"/>
            <w:noWrap/>
          </w:tcPr>
          <w:p w:rsidRPr="00936117" w:rsidR="002D1ACA" w:rsidP="005B4023" w:rsidRDefault="002D1ACA" w14:paraId="110C846F" w14:textId="4128A981">
            <w:pPr>
              <w:jc w:val="left"/>
            </w:pPr>
            <w:r w:rsidRPr="00936117">
              <w:rPr>
                <w:b/>
              </w:rPr>
              <w:t>Title</w:t>
            </w:r>
          </w:p>
        </w:tc>
        <w:tc>
          <w:tcPr>
            <w:tcW w:w="5441" w:type="dxa"/>
            <w:noWrap/>
          </w:tcPr>
          <w:p w:rsidRPr="00936117" w:rsidR="002D1ACA" w:rsidP="005B4023" w:rsidRDefault="00756DCD" w14:paraId="28415C16" w14:textId="05558E4E">
            <w:r w:rsidRPr="00936117">
              <w:t>2030 Consumer Agenda</w:t>
            </w:r>
          </w:p>
        </w:tc>
      </w:tr>
      <w:tr w:rsidRPr="00936117" w:rsidR="002D1ACA" w:rsidTr="00DC02E2" w14:paraId="6BC32FF7" w14:textId="77777777">
        <w:tc>
          <w:tcPr>
            <w:tcW w:w="3848" w:type="dxa"/>
            <w:noWrap/>
          </w:tcPr>
          <w:p w:rsidRPr="00936117" w:rsidR="002D1ACA" w:rsidP="005B4023" w:rsidRDefault="002D1ACA" w14:paraId="50A3C527" w14:textId="77777777">
            <w:pPr>
              <w:jc w:val="left"/>
              <w:rPr>
                <w:b/>
                <w:bCs/>
              </w:rPr>
            </w:pPr>
            <w:r w:rsidRPr="00936117">
              <w:rPr>
                <w:b/>
              </w:rPr>
              <w:t>Reference(s)</w:t>
            </w:r>
          </w:p>
        </w:tc>
        <w:tc>
          <w:tcPr>
            <w:tcW w:w="5441" w:type="dxa"/>
            <w:noWrap/>
          </w:tcPr>
          <w:p w:rsidRPr="00936117" w:rsidR="00464C80" w:rsidP="005B4023" w:rsidRDefault="00756DCD" w14:paraId="2F708D8D" w14:textId="7E53351B">
            <w:r w:rsidRPr="00936117">
              <w:t>Communication from the Commission to the European Parliament, the Council, the European Economic and Social Committee and the Committee of the Regions 2030 Consumer Agenda and action plan for consumers in the single market ‘A new impulse for consumer protection, competitiveness and sustainable growth’</w:t>
            </w:r>
          </w:p>
          <w:p w:rsidRPr="00936117" w:rsidR="002D1ACA" w:rsidP="005B4023" w:rsidRDefault="00A2517B" w14:paraId="35CF4628" w14:textId="60F2C7F4">
            <w:r w:rsidRPr="00936117">
              <w:t>COM(2025) 848 final</w:t>
            </w:r>
          </w:p>
        </w:tc>
      </w:tr>
      <w:tr w:rsidRPr="00936117" w:rsidR="00A2517B" w:rsidTr="00DC02E2" w14:paraId="1A2606B4" w14:textId="77777777">
        <w:tc>
          <w:tcPr>
            <w:tcW w:w="3848" w:type="dxa"/>
            <w:noWrap/>
          </w:tcPr>
          <w:p w:rsidRPr="00936117" w:rsidR="00A2517B" w:rsidP="005B4023" w:rsidRDefault="00A2517B" w14:paraId="3A1402DA" w14:textId="77777777">
            <w:pPr>
              <w:jc w:val="left"/>
              <w:rPr>
                <w:b/>
                <w:bCs/>
              </w:rPr>
            </w:pPr>
            <w:r w:rsidRPr="00936117">
              <w:rPr>
                <w:b/>
              </w:rPr>
              <w:t>Legal basis</w:t>
            </w:r>
          </w:p>
        </w:tc>
        <w:tc>
          <w:tcPr>
            <w:tcW w:w="5441" w:type="dxa"/>
            <w:noWrap/>
          </w:tcPr>
          <w:p w:rsidRPr="00936117" w:rsidR="00A2517B" w:rsidP="005B4023" w:rsidRDefault="00A2517B" w14:paraId="2CBE433B" w14:textId="6DB3B02D">
            <w:r w:rsidRPr="00936117">
              <w:t>Own-initiative opinion, (Article 307(4), TFEU)</w:t>
            </w:r>
          </w:p>
        </w:tc>
      </w:tr>
      <w:tr w:rsidRPr="00936117" w:rsidR="00A2517B" w:rsidTr="00DC02E2" w14:paraId="63D180B5" w14:textId="77777777">
        <w:tc>
          <w:tcPr>
            <w:tcW w:w="3848" w:type="dxa"/>
            <w:noWrap/>
          </w:tcPr>
          <w:p w:rsidRPr="00936117" w:rsidR="00A2517B" w:rsidP="005B4023" w:rsidRDefault="00A2517B" w14:paraId="3FDBD9D1" w14:textId="77777777">
            <w:pPr>
              <w:jc w:val="left"/>
              <w:rPr>
                <w:b/>
                <w:bCs/>
              </w:rPr>
            </w:pPr>
            <w:r w:rsidRPr="00936117">
              <w:rPr>
                <w:b/>
              </w:rPr>
              <w:t>Procedural basis</w:t>
            </w:r>
          </w:p>
        </w:tc>
        <w:tc>
          <w:tcPr>
            <w:tcW w:w="5441" w:type="dxa"/>
            <w:noWrap/>
          </w:tcPr>
          <w:p w:rsidRPr="00936117" w:rsidR="00A2517B" w:rsidP="005B4023" w:rsidRDefault="00A2517B" w14:paraId="70400A21" w14:textId="2B2BFB03">
            <w:pPr>
              <w:tabs>
                <w:tab w:val="left" w:pos="1703"/>
              </w:tabs>
            </w:pPr>
            <w:r w:rsidRPr="00936117">
              <w:t>Rule 41(b)(i) of the Rules of Procedure</w:t>
            </w:r>
          </w:p>
        </w:tc>
      </w:tr>
      <w:tr w:rsidRPr="00936117" w:rsidR="00A2517B" w:rsidTr="00DC02E2" w14:paraId="0A335DE2" w14:textId="77777777">
        <w:tc>
          <w:tcPr>
            <w:tcW w:w="3848" w:type="dxa"/>
          </w:tcPr>
          <w:p w:rsidRPr="00936117" w:rsidR="00A2517B" w:rsidP="005B4023" w:rsidRDefault="00A2517B" w14:paraId="77438F2B" w14:textId="77777777">
            <w:pPr>
              <w:jc w:val="left"/>
            </w:pPr>
            <w:r w:rsidRPr="00936117">
              <w:rPr>
                <w:b/>
              </w:rPr>
              <w:t>Date of Council/EP referral/Date of Commission letter</w:t>
            </w:r>
          </w:p>
        </w:tc>
        <w:tc>
          <w:tcPr>
            <w:tcW w:w="5441" w:type="dxa"/>
            <w:noWrap/>
          </w:tcPr>
          <w:p w:rsidRPr="00936117" w:rsidR="00A2517B" w:rsidP="005B4023" w:rsidRDefault="00A2517B" w14:paraId="75D868A4" w14:textId="77777777"/>
        </w:tc>
      </w:tr>
      <w:tr w:rsidRPr="00936117" w:rsidR="00A2517B" w:rsidTr="00DC02E2" w14:paraId="79597639" w14:textId="77777777">
        <w:tc>
          <w:tcPr>
            <w:tcW w:w="3848" w:type="dxa"/>
          </w:tcPr>
          <w:p w:rsidRPr="00936117" w:rsidR="00A2517B" w:rsidP="005B4023" w:rsidRDefault="00A2517B" w14:paraId="6FA555C8" w14:textId="77777777">
            <w:pPr>
              <w:jc w:val="left"/>
            </w:pPr>
            <w:r w:rsidRPr="00936117">
              <w:rPr>
                <w:b/>
              </w:rPr>
              <w:t>Date of Bureau/President’s decision</w:t>
            </w:r>
          </w:p>
        </w:tc>
        <w:tc>
          <w:tcPr>
            <w:tcW w:w="5441" w:type="dxa"/>
            <w:noWrap/>
          </w:tcPr>
          <w:p w:rsidRPr="00936117" w:rsidR="00A2517B" w:rsidP="005B4023" w:rsidRDefault="00A2517B" w14:paraId="34D8B9B7" w14:textId="308DB529">
            <w:r w:rsidRPr="00936117">
              <w:t>26</w:t>
            </w:r>
            <w:r w:rsidR="00936117">
              <w:t xml:space="preserve"> </w:t>
            </w:r>
            <w:r w:rsidRPr="00936117">
              <w:t>November 2025</w:t>
            </w:r>
          </w:p>
        </w:tc>
      </w:tr>
      <w:tr w:rsidRPr="00936117" w:rsidR="00A2517B" w:rsidTr="00DC02E2" w14:paraId="399B263B" w14:textId="77777777">
        <w:tc>
          <w:tcPr>
            <w:tcW w:w="3848" w:type="dxa"/>
            <w:noWrap/>
          </w:tcPr>
          <w:p w:rsidRPr="00936117" w:rsidR="00A2517B" w:rsidP="005B4023" w:rsidRDefault="00A2517B" w14:paraId="78195341" w14:textId="77777777">
            <w:pPr>
              <w:jc w:val="left"/>
              <w:rPr>
                <w:b/>
                <w:bCs/>
              </w:rPr>
            </w:pPr>
            <w:r w:rsidRPr="00936117">
              <w:rPr>
                <w:b/>
              </w:rPr>
              <w:t>Commission responsible</w:t>
            </w:r>
          </w:p>
        </w:tc>
        <w:tc>
          <w:tcPr>
            <w:tcW w:w="5441" w:type="dxa"/>
            <w:noWrap/>
          </w:tcPr>
          <w:p w:rsidRPr="00936117" w:rsidR="00A2517B" w:rsidP="005B4023" w:rsidRDefault="00A2517B" w14:paraId="7E9BC9D7" w14:textId="4019B586">
            <w:r w:rsidRPr="00936117">
              <w:t>Commission for Natural Resources (NAT)</w:t>
            </w:r>
          </w:p>
        </w:tc>
      </w:tr>
      <w:tr w:rsidRPr="00936117" w:rsidR="00A2517B" w:rsidTr="00DC02E2" w14:paraId="70AE1194" w14:textId="77777777">
        <w:tc>
          <w:tcPr>
            <w:tcW w:w="3848" w:type="dxa"/>
            <w:noWrap/>
          </w:tcPr>
          <w:p w:rsidRPr="00936117" w:rsidR="00A2517B" w:rsidP="005B4023" w:rsidRDefault="00A2517B" w14:paraId="10167948" w14:textId="4B8BEB5F">
            <w:pPr>
              <w:jc w:val="left"/>
              <w:rPr>
                <w:b/>
                <w:bCs/>
              </w:rPr>
            </w:pPr>
            <w:r w:rsidRPr="00936117">
              <w:rPr>
                <w:b/>
              </w:rPr>
              <w:t>Rapporteur</w:t>
            </w:r>
          </w:p>
        </w:tc>
        <w:tc>
          <w:tcPr>
            <w:tcW w:w="5441" w:type="dxa"/>
            <w:noWrap/>
          </w:tcPr>
          <w:p w:rsidRPr="00936117" w:rsidR="00A2517B" w:rsidP="005B4023" w:rsidRDefault="00A2517B" w14:paraId="49377C73" w14:textId="1D15422D">
            <w:pPr>
              <w:rPr>
                <w:bCs/>
              </w:rPr>
            </w:pPr>
            <w:r w:rsidRPr="00936117">
              <w:t>Adam CISZKOWSKI (PL/ECR)</w:t>
            </w:r>
          </w:p>
        </w:tc>
      </w:tr>
      <w:tr w:rsidRPr="00936117" w:rsidR="00A2517B" w:rsidTr="00DC02E2" w14:paraId="6F46484B" w14:textId="77777777">
        <w:tc>
          <w:tcPr>
            <w:tcW w:w="3848" w:type="dxa"/>
            <w:noWrap/>
          </w:tcPr>
          <w:p w:rsidRPr="00936117" w:rsidR="00A2517B" w:rsidP="005B4023" w:rsidRDefault="00A2517B" w14:paraId="60E557BF" w14:textId="77777777">
            <w:pPr>
              <w:jc w:val="left"/>
              <w:rPr>
                <w:b/>
                <w:bCs/>
              </w:rPr>
            </w:pPr>
            <w:r w:rsidRPr="00936117">
              <w:rPr>
                <w:b/>
              </w:rPr>
              <w:t>Discussed in commission</w:t>
            </w:r>
          </w:p>
        </w:tc>
        <w:tc>
          <w:tcPr>
            <w:tcW w:w="5441" w:type="dxa"/>
            <w:noWrap/>
          </w:tcPr>
          <w:p w:rsidRPr="00936117" w:rsidR="00A2517B" w:rsidP="005B4023" w:rsidRDefault="00A2517B" w14:paraId="59641353" w14:textId="1D89DFCC">
            <w:r w:rsidRPr="00936117">
              <w:t>21 April 2026</w:t>
            </w:r>
          </w:p>
        </w:tc>
      </w:tr>
      <w:tr w:rsidRPr="00936117" w:rsidR="00A2517B" w:rsidTr="00DC02E2" w14:paraId="23E4EF92" w14:textId="77777777">
        <w:tc>
          <w:tcPr>
            <w:tcW w:w="3848" w:type="dxa"/>
            <w:noWrap/>
          </w:tcPr>
          <w:p w:rsidRPr="00936117" w:rsidR="00A2517B" w:rsidP="005B4023" w:rsidRDefault="00A2517B" w14:paraId="765049B9" w14:textId="77777777">
            <w:pPr>
              <w:jc w:val="left"/>
              <w:rPr>
                <w:b/>
                <w:bCs/>
              </w:rPr>
            </w:pPr>
            <w:r w:rsidRPr="00936117">
              <w:rPr>
                <w:b/>
              </w:rPr>
              <w:t>Date adopted by commission</w:t>
            </w:r>
          </w:p>
        </w:tc>
        <w:tc>
          <w:tcPr>
            <w:tcW w:w="5441" w:type="dxa"/>
            <w:noWrap/>
          </w:tcPr>
          <w:p w:rsidRPr="00936117" w:rsidR="00A2517B" w:rsidP="005B4023" w:rsidRDefault="00A2517B" w14:paraId="01292E61" w14:textId="4D5B528D">
            <w:r w:rsidRPr="00936117">
              <w:t>21 April 2026</w:t>
            </w:r>
          </w:p>
        </w:tc>
      </w:tr>
      <w:tr w:rsidRPr="00936117" w:rsidR="00A2517B" w:rsidTr="00DC02E2" w14:paraId="6F1B3FD1" w14:textId="77777777">
        <w:tc>
          <w:tcPr>
            <w:tcW w:w="3848" w:type="dxa"/>
            <w:noWrap/>
          </w:tcPr>
          <w:p w:rsidRPr="00936117" w:rsidR="00A2517B" w:rsidP="005B4023" w:rsidRDefault="00A2517B" w14:paraId="20C76D96" w14:textId="77777777">
            <w:pPr>
              <w:jc w:val="left"/>
              <w:rPr>
                <w:b/>
                <w:bCs/>
              </w:rPr>
            </w:pPr>
            <w:r w:rsidRPr="00936117">
              <w:rPr>
                <w:b/>
              </w:rPr>
              <w:t>Result of the vote in commission</w:t>
            </w:r>
          </w:p>
          <w:p w:rsidRPr="00936117" w:rsidR="00A2517B" w:rsidP="005B4023" w:rsidRDefault="00A2517B" w14:paraId="1DC3E5A7" w14:textId="77777777">
            <w:pPr>
              <w:jc w:val="left"/>
              <w:rPr>
                <w:b/>
                <w:bCs/>
              </w:rPr>
            </w:pPr>
            <w:r w:rsidRPr="00936117">
              <w:rPr>
                <w:b/>
              </w:rPr>
              <w:t>(majority/unanimity)</w:t>
            </w:r>
          </w:p>
        </w:tc>
        <w:tc>
          <w:tcPr>
            <w:tcW w:w="5441" w:type="dxa"/>
            <w:noWrap/>
          </w:tcPr>
          <w:p w:rsidRPr="00936117" w:rsidR="00A2517B" w:rsidP="005B4023" w:rsidRDefault="005A75BA" w14:paraId="7F4E04CE" w14:textId="437AC2F7">
            <w:r w:rsidRPr="00936117">
              <w:t>Majority</w:t>
            </w:r>
          </w:p>
        </w:tc>
      </w:tr>
      <w:tr w:rsidRPr="00936117" w:rsidR="00A2517B" w:rsidTr="00DC02E2" w14:paraId="5B49CD7E" w14:textId="77777777">
        <w:tc>
          <w:tcPr>
            <w:tcW w:w="3848" w:type="dxa"/>
            <w:noWrap/>
          </w:tcPr>
          <w:p w:rsidRPr="00936117" w:rsidR="00A2517B" w:rsidP="005B4023" w:rsidRDefault="00A2517B" w14:paraId="036C2998" w14:textId="77777777">
            <w:pPr>
              <w:jc w:val="left"/>
              <w:rPr>
                <w:b/>
                <w:bCs/>
              </w:rPr>
            </w:pPr>
            <w:r w:rsidRPr="00936117">
              <w:rPr>
                <w:b/>
              </w:rPr>
              <w:t>Date adopted in plenary</w:t>
            </w:r>
          </w:p>
        </w:tc>
        <w:tc>
          <w:tcPr>
            <w:tcW w:w="5441" w:type="dxa"/>
            <w:noWrap/>
          </w:tcPr>
          <w:p w:rsidRPr="00936117" w:rsidR="00A2517B" w:rsidP="005B4023" w:rsidRDefault="00A2517B" w14:paraId="678458A6" w14:textId="5CEDCA76">
            <w:r w:rsidRPr="00936117">
              <w:t>2 July 2026</w:t>
            </w:r>
          </w:p>
        </w:tc>
      </w:tr>
      <w:tr w:rsidRPr="00936117" w:rsidR="00A2517B" w:rsidTr="00DC02E2" w14:paraId="7617F854" w14:textId="77777777">
        <w:tc>
          <w:tcPr>
            <w:tcW w:w="3848" w:type="dxa"/>
            <w:noWrap/>
          </w:tcPr>
          <w:p w:rsidRPr="00936117" w:rsidR="00A2517B" w:rsidP="005B4023" w:rsidRDefault="00A2517B" w14:paraId="395D37E9" w14:textId="77777777">
            <w:pPr>
              <w:jc w:val="left"/>
              <w:rPr>
                <w:b/>
                <w:bCs/>
              </w:rPr>
            </w:pPr>
            <w:r w:rsidRPr="00936117">
              <w:rPr>
                <w:b/>
              </w:rPr>
              <w:t>Previous Committee opinions</w:t>
            </w:r>
          </w:p>
        </w:tc>
        <w:tc>
          <w:tcPr>
            <w:tcW w:w="5441" w:type="dxa"/>
            <w:noWrap/>
          </w:tcPr>
          <w:p w:rsidRPr="00936117" w:rsidR="00A2517B" w:rsidP="005B4023" w:rsidRDefault="00A2517B" w14:paraId="4836B704" w14:textId="77777777"/>
        </w:tc>
      </w:tr>
      <w:tr w:rsidRPr="00936117" w:rsidR="00A2517B" w:rsidTr="00DC02E2" w14:paraId="7C92763B" w14:textId="77777777">
        <w:tc>
          <w:tcPr>
            <w:tcW w:w="3848" w:type="dxa"/>
            <w:noWrap/>
          </w:tcPr>
          <w:p w:rsidRPr="00936117" w:rsidR="00A2517B" w:rsidP="005B4023" w:rsidRDefault="00A2517B" w14:paraId="109EB397" w14:textId="77777777">
            <w:pPr>
              <w:jc w:val="left"/>
              <w:rPr>
                <w:b/>
                <w:bCs/>
              </w:rPr>
            </w:pPr>
            <w:r w:rsidRPr="00936117">
              <w:rPr>
                <w:b/>
              </w:rPr>
              <w:t>Subsidiarity reference</w:t>
            </w:r>
          </w:p>
        </w:tc>
        <w:tc>
          <w:tcPr>
            <w:tcW w:w="5441" w:type="dxa"/>
            <w:noWrap/>
          </w:tcPr>
          <w:p w:rsidRPr="00936117" w:rsidR="00A2517B" w:rsidP="005B4023" w:rsidRDefault="00A2517B" w14:paraId="335C721C" w14:textId="77777777"/>
        </w:tc>
      </w:tr>
    </w:tbl>
    <w:p w:rsidRPr="00936117" w:rsidR="00A2517B" w:rsidP="005B4023" w:rsidRDefault="00A2517B" w14:paraId="6EB06327" w14:textId="77777777">
      <w:pPr>
        <w:jc w:val="center"/>
      </w:pPr>
    </w:p>
    <w:p w:rsidRPr="00936117" w:rsidR="002D1ACA" w:rsidP="005B4023" w:rsidRDefault="002D1ACA" w14:paraId="2C03A9FA" w14:textId="024D688C">
      <w:pPr>
        <w:jc w:val="center"/>
      </w:pPr>
      <w:r w:rsidRPr="00936117">
        <w:t>_____________</w:t>
      </w:r>
    </w:p>
    <w:p w:rsidRPr="00936117" w:rsidR="002D1ACA" w:rsidP="005B4023" w:rsidRDefault="002D1ACA" w14:paraId="0BCCBB53" w14:textId="77777777">
      <w:pPr>
        <w:jc w:val="left"/>
      </w:pPr>
    </w:p>
    <w:sectPr w:rsidRPr="00936117" w:rsidR="002D1ACA" w:rsidSect="005B4023">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9A" w:rsidRDefault="00FB619A" w14:paraId="65CE7C95" w14:textId="77777777">
      <w:r>
        <w:separator/>
      </w:r>
    </w:p>
  </w:endnote>
  <w:endnote w:type="continuationSeparator" w:id="0">
    <w:p w:rsidR="00FB619A" w:rsidRDefault="00FB619A" w14:paraId="158659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A81108" w:rsidP="005B4023" w:rsidRDefault="00A81108" w14:paraId="6C415A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8F704D" w:rsidP="005B4023" w:rsidRDefault="005B4023" w14:paraId="1176F22D" w14:textId="0EE48C48">
    <w:pPr>
      <w:pStyle w:val="Footer"/>
    </w:pPr>
    <w:r>
      <w:t xml:space="preserve">COR-2025-04254-00-00-AC-TRA (EN) </w:t>
    </w:r>
    <w:r>
      <w:fldChar w:fldCharType="begin"/>
    </w:r>
    <w:r>
      <w:instrText xml:space="preserve"> PAGE  \* Arabic  \* MERGEFORMAT </w:instrText>
    </w:r>
    <w:r>
      <w:fldChar w:fldCharType="separate"/>
    </w:r>
    <w:r w:rsidR="00E20949">
      <w:rPr>
        <w:noProof/>
      </w:rPr>
      <w:t>1</w:t>
    </w:r>
    <w:r>
      <w:fldChar w:fldCharType="end"/>
    </w:r>
    <w:r>
      <w:t>/</w:t>
    </w:r>
    <w:r>
      <w:fldChar w:fldCharType="begin"/>
    </w:r>
    <w:r>
      <w:instrText xml:space="preserve"> NUMPAGES </w:instrText>
    </w:r>
    <w:r>
      <w:fldChar w:fldCharType="separate"/>
    </w:r>
    <w:r w:rsidR="00E2094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A81108" w:rsidP="005B4023" w:rsidRDefault="00A81108" w14:paraId="167E7F6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9203B2" w:rsidP="005B4023" w:rsidRDefault="009203B2" w14:paraId="7C73FDD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9203B2" w:rsidP="005B4023" w:rsidRDefault="005B4023" w14:paraId="60E99C74" w14:textId="53363861">
    <w:pPr>
      <w:pStyle w:val="Footer"/>
    </w:pPr>
    <w:r>
      <w:t xml:space="preserve">COR-2025-04254-00-00-AC-TRA (EN) </w:t>
    </w:r>
    <w:r>
      <w:fldChar w:fldCharType="begin"/>
    </w:r>
    <w:r>
      <w:instrText xml:space="preserve"> PAGE  \* Arabic  \* MERGEFORMAT </w:instrText>
    </w:r>
    <w:r>
      <w:fldChar w:fldCharType="separate"/>
    </w:r>
    <w:r>
      <w:rPr>
        <w:noProof/>
      </w:rPr>
      <w:t>12</w:t>
    </w:r>
    <w:r>
      <w:fldChar w:fldCharType="end"/>
    </w:r>
    <w:r>
      <w:t>/</w:t>
    </w:r>
    <w:r>
      <w:fldChar w:fldCharType="begin"/>
    </w:r>
    <w:r>
      <w:instrText xml:space="preserve"> NUMPAGES </w:instrText>
    </w:r>
    <w:r>
      <w:fldChar w:fldCharType="separate"/>
    </w:r>
    <w:r>
      <w:rPr>
        <w:noProof/>
      </w:rP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9203B2" w:rsidP="005B4023" w:rsidRDefault="009203B2" w14:paraId="19E1B9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9A" w:rsidRDefault="00FB619A" w14:paraId="23212E90" w14:textId="77777777">
      <w:r>
        <w:separator/>
      </w:r>
    </w:p>
  </w:footnote>
  <w:footnote w:type="continuationSeparator" w:id="0">
    <w:p w:rsidR="00FB619A" w:rsidRDefault="00FB619A" w14:paraId="7761EF8E" w14:textId="77777777">
      <w:r>
        <w:continuationSeparator/>
      </w:r>
    </w:p>
  </w:footnote>
  <w:footnote w:id="1">
    <w:p w:rsidRPr="00C039DE" w:rsidR="00105AE8" w:rsidP="00105AE8" w:rsidRDefault="00105AE8" w14:paraId="2FBDFA78" w14:textId="0F2F79C3">
      <w:pPr>
        <w:pStyle w:val="FootnoteText"/>
      </w:pPr>
      <w:r>
        <w:rPr>
          <w:rStyle w:val="FootnoteReference"/>
        </w:rPr>
        <w:footnoteRef/>
      </w:r>
      <w:r>
        <w:t xml:space="preserve"> </w:t>
      </w:r>
      <w:r>
        <w:tab/>
      </w:r>
      <w:hyperlink w:history="1" r:id="rId1">
        <w:r w:rsidRPr="000B1166">
          <w:rPr>
            <w:rStyle w:val="Hyperlink"/>
          </w:rPr>
          <w:t>https://ec.europa.eu/commission/presscorner/detail/en/ip_24_4901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A81108" w:rsidP="005B4023" w:rsidRDefault="00A81108" w14:paraId="060184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A81108" w:rsidP="005B4023" w:rsidRDefault="00A81108" w14:paraId="2EBC3433" w14:textId="3EC93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A81108" w:rsidP="005B4023" w:rsidRDefault="00A81108" w14:paraId="609E312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9203B2" w:rsidP="005B4023" w:rsidRDefault="009203B2" w14:paraId="719ED068" w14:textId="4C1553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9203B2" w:rsidP="005B4023" w:rsidRDefault="009203B2" w14:paraId="5755E09E" w14:textId="79B26B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B4023" w:rsidR="009203B2" w:rsidP="005B4023" w:rsidRDefault="009203B2" w14:paraId="17FF70D5" w14:textId="702EB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F384C7A"/>
    <w:multiLevelType w:val="hybridMultilevel"/>
    <w:tmpl w:val="5C12956C"/>
    <w:lvl w:ilvl="0" w:tplc="040C0013">
      <w:start w:val="1"/>
      <w:numFmt w:val="upperRoman"/>
      <w:lvlText w:val="%1."/>
      <w:lvlJc w:val="righ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24BD2"/>
    <w:multiLevelType w:val="hybridMultilevel"/>
    <w:tmpl w:val="DC182222"/>
    <w:lvl w:ilvl="0" w:tplc="EB8E3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C741D"/>
    <w:multiLevelType w:val="multilevel"/>
    <w:tmpl w:val="233AEA30"/>
    <w:lvl w:ilvl="0">
      <w:start w:val="1"/>
      <w:numFmt w:val="decimal"/>
      <w:lvlText w:val="%1."/>
      <w:lvlJc w:val="left"/>
      <w:pPr>
        <w:tabs>
          <w:tab w:val="num" w:pos="2629"/>
        </w:tabs>
        <w:ind w:left="2629" w:hanging="360"/>
      </w:pPr>
      <w:rPr>
        <w:b w:val="0"/>
        <w:bCs w:val="0"/>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E572DD1"/>
    <w:multiLevelType w:val="multilevel"/>
    <w:tmpl w:val="B770F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14"/>
  </w:num>
  <w:num w:numId="4">
    <w:abstractNumId w:val="7"/>
  </w:num>
  <w:num w:numId="5">
    <w:abstractNumId w:val="9"/>
  </w:num>
  <w:num w:numId="6">
    <w:abstractNumId w:val="5"/>
  </w:num>
  <w:num w:numId="7">
    <w:abstractNumId w:val="2"/>
  </w:num>
  <w:num w:numId="8">
    <w:abstractNumId w:val="13"/>
  </w:num>
  <w:num w:numId="9">
    <w:abstractNumId w:val="10"/>
  </w:num>
  <w:num w:numId="10">
    <w:abstractNumId w:val="12"/>
  </w:num>
  <w:num w:numId="11">
    <w:abstractNumId w:val="4"/>
  </w:num>
  <w:num w:numId="12">
    <w:abstractNumId w:val="8"/>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056E3"/>
    <w:rsid w:val="000131BA"/>
    <w:rsid w:val="00020D7F"/>
    <w:rsid w:val="0002353F"/>
    <w:rsid w:val="0002387B"/>
    <w:rsid w:val="00024A28"/>
    <w:rsid w:val="000273A5"/>
    <w:rsid w:val="000327A3"/>
    <w:rsid w:val="00055189"/>
    <w:rsid w:val="000563CA"/>
    <w:rsid w:val="00061340"/>
    <w:rsid w:val="000615B3"/>
    <w:rsid w:val="00067BA8"/>
    <w:rsid w:val="000715CF"/>
    <w:rsid w:val="00083AE8"/>
    <w:rsid w:val="0008761D"/>
    <w:rsid w:val="000968C6"/>
    <w:rsid w:val="000A4ED8"/>
    <w:rsid w:val="000B1166"/>
    <w:rsid w:val="000B74D3"/>
    <w:rsid w:val="000C3BC1"/>
    <w:rsid w:val="000D0615"/>
    <w:rsid w:val="000D0765"/>
    <w:rsid w:val="000D6A84"/>
    <w:rsid w:val="000E60CE"/>
    <w:rsid w:val="000E7ADB"/>
    <w:rsid w:val="00101FBB"/>
    <w:rsid w:val="001040F9"/>
    <w:rsid w:val="00105AE8"/>
    <w:rsid w:val="001111C5"/>
    <w:rsid w:val="00111D6B"/>
    <w:rsid w:val="00112E32"/>
    <w:rsid w:val="0012190B"/>
    <w:rsid w:val="00131F8E"/>
    <w:rsid w:val="001409A7"/>
    <w:rsid w:val="00141B82"/>
    <w:rsid w:val="001469BB"/>
    <w:rsid w:val="0015645B"/>
    <w:rsid w:val="00183EE2"/>
    <w:rsid w:val="00184E43"/>
    <w:rsid w:val="00185A45"/>
    <w:rsid w:val="00193552"/>
    <w:rsid w:val="001A00A4"/>
    <w:rsid w:val="001A2629"/>
    <w:rsid w:val="001B3218"/>
    <w:rsid w:val="001B33A4"/>
    <w:rsid w:val="001B64F5"/>
    <w:rsid w:val="001B7130"/>
    <w:rsid w:val="001C21F5"/>
    <w:rsid w:val="001C4C01"/>
    <w:rsid w:val="001C66A9"/>
    <w:rsid w:val="001C6A6B"/>
    <w:rsid w:val="001D046F"/>
    <w:rsid w:val="001D08F0"/>
    <w:rsid w:val="001D6B24"/>
    <w:rsid w:val="001E547C"/>
    <w:rsid w:val="001E5620"/>
    <w:rsid w:val="001E777B"/>
    <w:rsid w:val="001F1AB8"/>
    <w:rsid w:val="001F612F"/>
    <w:rsid w:val="002033F5"/>
    <w:rsid w:val="002054D0"/>
    <w:rsid w:val="002105D9"/>
    <w:rsid w:val="0021211F"/>
    <w:rsid w:val="002134C8"/>
    <w:rsid w:val="00221961"/>
    <w:rsid w:val="0022340D"/>
    <w:rsid w:val="00223AB5"/>
    <w:rsid w:val="002302F1"/>
    <w:rsid w:val="00236A41"/>
    <w:rsid w:val="00244C73"/>
    <w:rsid w:val="00246EE5"/>
    <w:rsid w:val="0024758F"/>
    <w:rsid w:val="00254B94"/>
    <w:rsid w:val="00254DB2"/>
    <w:rsid w:val="0026767E"/>
    <w:rsid w:val="0027056C"/>
    <w:rsid w:val="00270C7D"/>
    <w:rsid w:val="0028166E"/>
    <w:rsid w:val="00286B89"/>
    <w:rsid w:val="00290152"/>
    <w:rsid w:val="00290C98"/>
    <w:rsid w:val="00292E46"/>
    <w:rsid w:val="00293319"/>
    <w:rsid w:val="00294D26"/>
    <w:rsid w:val="00295AD8"/>
    <w:rsid w:val="00296335"/>
    <w:rsid w:val="002A67BF"/>
    <w:rsid w:val="002B1548"/>
    <w:rsid w:val="002B1E5E"/>
    <w:rsid w:val="002B5F97"/>
    <w:rsid w:val="002C0456"/>
    <w:rsid w:val="002D1ACA"/>
    <w:rsid w:val="002D219C"/>
    <w:rsid w:val="002D618D"/>
    <w:rsid w:val="002D7343"/>
    <w:rsid w:val="002E03AC"/>
    <w:rsid w:val="002E606E"/>
    <w:rsid w:val="002F03D6"/>
    <w:rsid w:val="002F10DE"/>
    <w:rsid w:val="002F1B67"/>
    <w:rsid w:val="002F3379"/>
    <w:rsid w:val="002F3584"/>
    <w:rsid w:val="00300C2D"/>
    <w:rsid w:val="00301D66"/>
    <w:rsid w:val="003137F9"/>
    <w:rsid w:val="00313CCE"/>
    <w:rsid w:val="00314F30"/>
    <w:rsid w:val="0031719E"/>
    <w:rsid w:val="00322488"/>
    <w:rsid w:val="003254E4"/>
    <w:rsid w:val="00333F1B"/>
    <w:rsid w:val="00334D96"/>
    <w:rsid w:val="0033537E"/>
    <w:rsid w:val="0034608C"/>
    <w:rsid w:val="00347D9B"/>
    <w:rsid w:val="003563A4"/>
    <w:rsid w:val="003566EF"/>
    <w:rsid w:val="003626DF"/>
    <w:rsid w:val="00365725"/>
    <w:rsid w:val="00367564"/>
    <w:rsid w:val="003717C9"/>
    <w:rsid w:val="00373064"/>
    <w:rsid w:val="00373ED4"/>
    <w:rsid w:val="00374974"/>
    <w:rsid w:val="003772D6"/>
    <w:rsid w:val="00383975"/>
    <w:rsid w:val="003A043C"/>
    <w:rsid w:val="003A64BB"/>
    <w:rsid w:val="003B003F"/>
    <w:rsid w:val="003B0723"/>
    <w:rsid w:val="003B1C77"/>
    <w:rsid w:val="003C0F98"/>
    <w:rsid w:val="003C3E59"/>
    <w:rsid w:val="003C4DA3"/>
    <w:rsid w:val="003C7067"/>
    <w:rsid w:val="003D63A1"/>
    <w:rsid w:val="003E1CB2"/>
    <w:rsid w:val="003E420C"/>
    <w:rsid w:val="003E4EA7"/>
    <w:rsid w:val="003F3966"/>
    <w:rsid w:val="00406724"/>
    <w:rsid w:val="0040776D"/>
    <w:rsid w:val="00411AF4"/>
    <w:rsid w:val="00411AFE"/>
    <w:rsid w:val="00413DBB"/>
    <w:rsid w:val="004336B4"/>
    <w:rsid w:val="00434375"/>
    <w:rsid w:val="00440D9C"/>
    <w:rsid w:val="00444A98"/>
    <w:rsid w:val="00445BF3"/>
    <w:rsid w:val="00452A5A"/>
    <w:rsid w:val="00454AD9"/>
    <w:rsid w:val="00462F98"/>
    <w:rsid w:val="00464C80"/>
    <w:rsid w:val="004733CF"/>
    <w:rsid w:val="00473FC6"/>
    <w:rsid w:val="00475000"/>
    <w:rsid w:val="00475484"/>
    <w:rsid w:val="00487FD1"/>
    <w:rsid w:val="004A083D"/>
    <w:rsid w:val="004A0C7C"/>
    <w:rsid w:val="004A41CF"/>
    <w:rsid w:val="004A791F"/>
    <w:rsid w:val="004B1DB2"/>
    <w:rsid w:val="004C1D68"/>
    <w:rsid w:val="004C27BC"/>
    <w:rsid w:val="004C31F0"/>
    <w:rsid w:val="004D0FFB"/>
    <w:rsid w:val="004E0547"/>
    <w:rsid w:val="004E2093"/>
    <w:rsid w:val="004E4BD7"/>
    <w:rsid w:val="004E605D"/>
    <w:rsid w:val="004F5018"/>
    <w:rsid w:val="005157C2"/>
    <w:rsid w:val="005201B2"/>
    <w:rsid w:val="005214AE"/>
    <w:rsid w:val="00526D1D"/>
    <w:rsid w:val="00526FA6"/>
    <w:rsid w:val="00530CDD"/>
    <w:rsid w:val="005377BC"/>
    <w:rsid w:val="00537EFD"/>
    <w:rsid w:val="00540DD4"/>
    <w:rsid w:val="005427C1"/>
    <w:rsid w:val="00544754"/>
    <w:rsid w:val="00552C9F"/>
    <w:rsid w:val="0055627A"/>
    <w:rsid w:val="00567AC4"/>
    <w:rsid w:val="00575FC1"/>
    <w:rsid w:val="00576354"/>
    <w:rsid w:val="00583866"/>
    <w:rsid w:val="005918A5"/>
    <w:rsid w:val="00594036"/>
    <w:rsid w:val="005A2C62"/>
    <w:rsid w:val="005A41BB"/>
    <w:rsid w:val="005A75BA"/>
    <w:rsid w:val="005A7F8D"/>
    <w:rsid w:val="005B2905"/>
    <w:rsid w:val="005B3B16"/>
    <w:rsid w:val="005B4023"/>
    <w:rsid w:val="005B7EC0"/>
    <w:rsid w:val="005C0424"/>
    <w:rsid w:val="005C2CCD"/>
    <w:rsid w:val="005C36CD"/>
    <w:rsid w:val="005C3D73"/>
    <w:rsid w:val="005C4B78"/>
    <w:rsid w:val="005C4F1C"/>
    <w:rsid w:val="005C64D4"/>
    <w:rsid w:val="005C65CD"/>
    <w:rsid w:val="005D2F9A"/>
    <w:rsid w:val="005D31A6"/>
    <w:rsid w:val="005E58C7"/>
    <w:rsid w:val="005F294F"/>
    <w:rsid w:val="005F309E"/>
    <w:rsid w:val="00607700"/>
    <w:rsid w:val="00607B96"/>
    <w:rsid w:val="00611921"/>
    <w:rsid w:val="00614693"/>
    <w:rsid w:val="006178E4"/>
    <w:rsid w:val="00625271"/>
    <w:rsid w:val="006311E4"/>
    <w:rsid w:val="00654566"/>
    <w:rsid w:val="00656201"/>
    <w:rsid w:val="00661C93"/>
    <w:rsid w:val="00661FCB"/>
    <w:rsid w:val="00667B1E"/>
    <w:rsid w:val="00677CA2"/>
    <w:rsid w:val="006865A4"/>
    <w:rsid w:val="006877FE"/>
    <w:rsid w:val="00693225"/>
    <w:rsid w:val="00693511"/>
    <w:rsid w:val="00697783"/>
    <w:rsid w:val="006A0CB5"/>
    <w:rsid w:val="006A4A0A"/>
    <w:rsid w:val="006A5189"/>
    <w:rsid w:val="006A5F74"/>
    <w:rsid w:val="006C1477"/>
    <w:rsid w:val="006C4469"/>
    <w:rsid w:val="006C4820"/>
    <w:rsid w:val="006D0087"/>
    <w:rsid w:val="006D39F7"/>
    <w:rsid w:val="006D4566"/>
    <w:rsid w:val="006D78CA"/>
    <w:rsid w:val="006F50B3"/>
    <w:rsid w:val="0070044F"/>
    <w:rsid w:val="00702AC2"/>
    <w:rsid w:val="00710D75"/>
    <w:rsid w:val="00717B76"/>
    <w:rsid w:val="00720994"/>
    <w:rsid w:val="00725F78"/>
    <w:rsid w:val="00731466"/>
    <w:rsid w:val="00735BD5"/>
    <w:rsid w:val="00742D08"/>
    <w:rsid w:val="00744EFA"/>
    <w:rsid w:val="0074642C"/>
    <w:rsid w:val="0075508D"/>
    <w:rsid w:val="0075577A"/>
    <w:rsid w:val="00756DCD"/>
    <w:rsid w:val="00763B0E"/>
    <w:rsid w:val="00766168"/>
    <w:rsid w:val="00772AFA"/>
    <w:rsid w:val="00784080"/>
    <w:rsid w:val="00785967"/>
    <w:rsid w:val="007961EE"/>
    <w:rsid w:val="007A29F6"/>
    <w:rsid w:val="007A3662"/>
    <w:rsid w:val="007A37D4"/>
    <w:rsid w:val="007A6D76"/>
    <w:rsid w:val="007B10B2"/>
    <w:rsid w:val="007B2E4D"/>
    <w:rsid w:val="007B2E50"/>
    <w:rsid w:val="007B3A47"/>
    <w:rsid w:val="007C14D0"/>
    <w:rsid w:val="007C6C29"/>
    <w:rsid w:val="007E3132"/>
    <w:rsid w:val="007F0079"/>
    <w:rsid w:val="007F292E"/>
    <w:rsid w:val="007F2EF5"/>
    <w:rsid w:val="007F68C4"/>
    <w:rsid w:val="00800D71"/>
    <w:rsid w:val="008020FE"/>
    <w:rsid w:val="0080744B"/>
    <w:rsid w:val="00810512"/>
    <w:rsid w:val="00814EF3"/>
    <w:rsid w:val="008224B6"/>
    <w:rsid w:val="008258A2"/>
    <w:rsid w:val="00830A5D"/>
    <w:rsid w:val="00833032"/>
    <w:rsid w:val="00837FA5"/>
    <w:rsid w:val="0084288A"/>
    <w:rsid w:val="00847E17"/>
    <w:rsid w:val="008553F4"/>
    <w:rsid w:val="00861D0E"/>
    <w:rsid w:val="00866F5C"/>
    <w:rsid w:val="008739FD"/>
    <w:rsid w:val="0088617F"/>
    <w:rsid w:val="008B7BCF"/>
    <w:rsid w:val="008C15B4"/>
    <w:rsid w:val="008C3286"/>
    <w:rsid w:val="008D0A8A"/>
    <w:rsid w:val="008D3638"/>
    <w:rsid w:val="008D5CBC"/>
    <w:rsid w:val="008D7312"/>
    <w:rsid w:val="008E78EC"/>
    <w:rsid w:val="008F237F"/>
    <w:rsid w:val="008F704D"/>
    <w:rsid w:val="0090386A"/>
    <w:rsid w:val="009058C9"/>
    <w:rsid w:val="00913B7D"/>
    <w:rsid w:val="00917DFA"/>
    <w:rsid w:val="009203B2"/>
    <w:rsid w:val="009228FE"/>
    <w:rsid w:val="00923938"/>
    <w:rsid w:val="00924768"/>
    <w:rsid w:val="009352AE"/>
    <w:rsid w:val="00936117"/>
    <w:rsid w:val="00946723"/>
    <w:rsid w:val="0095327D"/>
    <w:rsid w:val="009553DA"/>
    <w:rsid w:val="00960F88"/>
    <w:rsid w:val="009765AA"/>
    <w:rsid w:val="00981AC9"/>
    <w:rsid w:val="00984B9F"/>
    <w:rsid w:val="00985FA5"/>
    <w:rsid w:val="00987319"/>
    <w:rsid w:val="009914FC"/>
    <w:rsid w:val="009962DC"/>
    <w:rsid w:val="0099779D"/>
    <w:rsid w:val="009A16C1"/>
    <w:rsid w:val="009A2D98"/>
    <w:rsid w:val="009A3DE9"/>
    <w:rsid w:val="009A6E15"/>
    <w:rsid w:val="009B56C3"/>
    <w:rsid w:val="009C09A1"/>
    <w:rsid w:val="009E3246"/>
    <w:rsid w:val="009E756B"/>
    <w:rsid w:val="009E79DE"/>
    <w:rsid w:val="009F0B69"/>
    <w:rsid w:val="009F2BBB"/>
    <w:rsid w:val="009F5D11"/>
    <w:rsid w:val="009F6C55"/>
    <w:rsid w:val="009F7D37"/>
    <w:rsid w:val="00A012E5"/>
    <w:rsid w:val="00A06D9C"/>
    <w:rsid w:val="00A07B5B"/>
    <w:rsid w:val="00A10C3E"/>
    <w:rsid w:val="00A12455"/>
    <w:rsid w:val="00A177C5"/>
    <w:rsid w:val="00A205D8"/>
    <w:rsid w:val="00A2218C"/>
    <w:rsid w:val="00A23761"/>
    <w:rsid w:val="00A2517B"/>
    <w:rsid w:val="00A26F2E"/>
    <w:rsid w:val="00A31B17"/>
    <w:rsid w:val="00A34564"/>
    <w:rsid w:val="00A36318"/>
    <w:rsid w:val="00A402C8"/>
    <w:rsid w:val="00A57C9F"/>
    <w:rsid w:val="00A67E3D"/>
    <w:rsid w:val="00A703FC"/>
    <w:rsid w:val="00A81108"/>
    <w:rsid w:val="00A82F01"/>
    <w:rsid w:val="00A8387D"/>
    <w:rsid w:val="00A84676"/>
    <w:rsid w:val="00A90019"/>
    <w:rsid w:val="00A9046B"/>
    <w:rsid w:val="00A911A9"/>
    <w:rsid w:val="00A91F95"/>
    <w:rsid w:val="00AA586E"/>
    <w:rsid w:val="00AA77B1"/>
    <w:rsid w:val="00AB0937"/>
    <w:rsid w:val="00AB127C"/>
    <w:rsid w:val="00AB6C97"/>
    <w:rsid w:val="00AC08B7"/>
    <w:rsid w:val="00AD16CD"/>
    <w:rsid w:val="00AD1818"/>
    <w:rsid w:val="00AE4401"/>
    <w:rsid w:val="00AF1AC3"/>
    <w:rsid w:val="00AF37CF"/>
    <w:rsid w:val="00AF5C63"/>
    <w:rsid w:val="00AF6E38"/>
    <w:rsid w:val="00B05AA9"/>
    <w:rsid w:val="00B13BA3"/>
    <w:rsid w:val="00B237FB"/>
    <w:rsid w:val="00B33430"/>
    <w:rsid w:val="00B365B9"/>
    <w:rsid w:val="00B45858"/>
    <w:rsid w:val="00B50C61"/>
    <w:rsid w:val="00B52B41"/>
    <w:rsid w:val="00B56BB0"/>
    <w:rsid w:val="00B60A4E"/>
    <w:rsid w:val="00B616E0"/>
    <w:rsid w:val="00B621AA"/>
    <w:rsid w:val="00B65DB1"/>
    <w:rsid w:val="00B67819"/>
    <w:rsid w:val="00B81FF9"/>
    <w:rsid w:val="00BB4B32"/>
    <w:rsid w:val="00BB6759"/>
    <w:rsid w:val="00BB7BAB"/>
    <w:rsid w:val="00BC38D0"/>
    <w:rsid w:val="00BD5DA4"/>
    <w:rsid w:val="00BD7F16"/>
    <w:rsid w:val="00BE006D"/>
    <w:rsid w:val="00BE061F"/>
    <w:rsid w:val="00BE3E20"/>
    <w:rsid w:val="00BE3EE5"/>
    <w:rsid w:val="00BE5385"/>
    <w:rsid w:val="00BF1CB5"/>
    <w:rsid w:val="00BF7AE7"/>
    <w:rsid w:val="00C039DE"/>
    <w:rsid w:val="00C156DC"/>
    <w:rsid w:val="00C22F39"/>
    <w:rsid w:val="00C32555"/>
    <w:rsid w:val="00C339F1"/>
    <w:rsid w:val="00C34F96"/>
    <w:rsid w:val="00C3552F"/>
    <w:rsid w:val="00C414E8"/>
    <w:rsid w:val="00C504AB"/>
    <w:rsid w:val="00C639CA"/>
    <w:rsid w:val="00C734C7"/>
    <w:rsid w:val="00C73A65"/>
    <w:rsid w:val="00C75EE6"/>
    <w:rsid w:val="00C82639"/>
    <w:rsid w:val="00C85523"/>
    <w:rsid w:val="00C90480"/>
    <w:rsid w:val="00C95C56"/>
    <w:rsid w:val="00C9667B"/>
    <w:rsid w:val="00CA03B6"/>
    <w:rsid w:val="00CA6B49"/>
    <w:rsid w:val="00CA6DB6"/>
    <w:rsid w:val="00CB4554"/>
    <w:rsid w:val="00CB550B"/>
    <w:rsid w:val="00CB58B0"/>
    <w:rsid w:val="00CB7BAE"/>
    <w:rsid w:val="00CD27BE"/>
    <w:rsid w:val="00CD57C0"/>
    <w:rsid w:val="00CE34E1"/>
    <w:rsid w:val="00CE5929"/>
    <w:rsid w:val="00CF258E"/>
    <w:rsid w:val="00CF3091"/>
    <w:rsid w:val="00CF605D"/>
    <w:rsid w:val="00D13CBA"/>
    <w:rsid w:val="00D14737"/>
    <w:rsid w:val="00D251B0"/>
    <w:rsid w:val="00D46F0D"/>
    <w:rsid w:val="00D4700A"/>
    <w:rsid w:val="00D620ED"/>
    <w:rsid w:val="00D7345B"/>
    <w:rsid w:val="00D77A78"/>
    <w:rsid w:val="00D81863"/>
    <w:rsid w:val="00D84A7F"/>
    <w:rsid w:val="00D959DE"/>
    <w:rsid w:val="00DA0453"/>
    <w:rsid w:val="00DA085F"/>
    <w:rsid w:val="00DA0A6C"/>
    <w:rsid w:val="00DA16D8"/>
    <w:rsid w:val="00DA2B13"/>
    <w:rsid w:val="00DA3DEA"/>
    <w:rsid w:val="00DA5725"/>
    <w:rsid w:val="00DA70D3"/>
    <w:rsid w:val="00DB457F"/>
    <w:rsid w:val="00DC02E2"/>
    <w:rsid w:val="00DC1517"/>
    <w:rsid w:val="00DC2168"/>
    <w:rsid w:val="00DC55CB"/>
    <w:rsid w:val="00DD66B3"/>
    <w:rsid w:val="00DE0F03"/>
    <w:rsid w:val="00DE5160"/>
    <w:rsid w:val="00DE664B"/>
    <w:rsid w:val="00DF14D7"/>
    <w:rsid w:val="00DF2DCD"/>
    <w:rsid w:val="00DF5986"/>
    <w:rsid w:val="00DF7D46"/>
    <w:rsid w:val="00E1095E"/>
    <w:rsid w:val="00E157F4"/>
    <w:rsid w:val="00E20949"/>
    <w:rsid w:val="00E242A6"/>
    <w:rsid w:val="00E30D3A"/>
    <w:rsid w:val="00E33B12"/>
    <w:rsid w:val="00E345E0"/>
    <w:rsid w:val="00E37DD3"/>
    <w:rsid w:val="00E44A02"/>
    <w:rsid w:val="00E52232"/>
    <w:rsid w:val="00E55227"/>
    <w:rsid w:val="00E55D2E"/>
    <w:rsid w:val="00E5664A"/>
    <w:rsid w:val="00E67837"/>
    <w:rsid w:val="00E718DB"/>
    <w:rsid w:val="00E812C0"/>
    <w:rsid w:val="00E81AD3"/>
    <w:rsid w:val="00E83AE3"/>
    <w:rsid w:val="00E83E7B"/>
    <w:rsid w:val="00E8783D"/>
    <w:rsid w:val="00E91E9E"/>
    <w:rsid w:val="00E94073"/>
    <w:rsid w:val="00E94376"/>
    <w:rsid w:val="00E94A51"/>
    <w:rsid w:val="00EB092A"/>
    <w:rsid w:val="00EB3B52"/>
    <w:rsid w:val="00EB6848"/>
    <w:rsid w:val="00EB76EE"/>
    <w:rsid w:val="00ED32B5"/>
    <w:rsid w:val="00ED5A64"/>
    <w:rsid w:val="00ED6AAA"/>
    <w:rsid w:val="00ED74BE"/>
    <w:rsid w:val="00EE36FF"/>
    <w:rsid w:val="00F036A1"/>
    <w:rsid w:val="00F057BA"/>
    <w:rsid w:val="00F21566"/>
    <w:rsid w:val="00F25397"/>
    <w:rsid w:val="00F26926"/>
    <w:rsid w:val="00F334E1"/>
    <w:rsid w:val="00F35BC9"/>
    <w:rsid w:val="00F35F98"/>
    <w:rsid w:val="00F35FA7"/>
    <w:rsid w:val="00F40F26"/>
    <w:rsid w:val="00F42EDA"/>
    <w:rsid w:val="00F45402"/>
    <w:rsid w:val="00F46DFE"/>
    <w:rsid w:val="00F55286"/>
    <w:rsid w:val="00F56D3F"/>
    <w:rsid w:val="00F6750D"/>
    <w:rsid w:val="00F76EBC"/>
    <w:rsid w:val="00F76F17"/>
    <w:rsid w:val="00F843C6"/>
    <w:rsid w:val="00F84BCE"/>
    <w:rsid w:val="00F85741"/>
    <w:rsid w:val="00F85D71"/>
    <w:rsid w:val="00F90656"/>
    <w:rsid w:val="00F90F5A"/>
    <w:rsid w:val="00F9209E"/>
    <w:rsid w:val="00F96651"/>
    <w:rsid w:val="00FA1EEE"/>
    <w:rsid w:val="00FB1A7C"/>
    <w:rsid w:val="00FB619A"/>
    <w:rsid w:val="00FC2633"/>
    <w:rsid w:val="00FC3DA9"/>
    <w:rsid w:val="00FD04CF"/>
    <w:rsid w:val="00FD569D"/>
    <w:rsid w:val="00FE70F3"/>
    <w:rsid w:val="00FE7B56"/>
    <w:rsid w:val="00FF0A35"/>
    <w:rsid w:val="00FF4C7E"/>
    <w:rsid w:val="00FF53DC"/>
    <w:rsid w:val="00FF5830"/>
    <w:rsid w:val="00FF695E"/>
    <w:rsid w:val="0FEF6C39"/>
    <w:rsid w:val="1CDF2D08"/>
    <w:rsid w:val="7CB7C3B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D8E479"/>
  <w15:docId w15:val="{ABD428AE-06A0-4A3B-9FBC-271DD603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023"/>
    <w:pPr>
      <w:overflowPunct w:val="0"/>
      <w:autoSpaceDE w:val="0"/>
      <w:autoSpaceDN w:val="0"/>
      <w:adjustRightInd w:val="0"/>
      <w:spacing w:line="288" w:lineRule="auto"/>
      <w:jc w:val="both"/>
      <w:textAlignment w:val="baseline"/>
    </w:pPr>
    <w:rPr>
      <w:sz w:val="22"/>
    </w:rPr>
  </w:style>
  <w:style w:type="paragraph" w:styleId="Heading1">
    <w:name w:val="heading 1"/>
    <w:basedOn w:val="Normal"/>
    <w:next w:val="Normal"/>
    <w:link w:val="Heading1Char"/>
    <w:uiPriority w:val="9"/>
    <w:qFormat/>
    <w:rsid w:val="00847E17"/>
    <w:pPr>
      <w:numPr>
        <w:numId w:val="1"/>
      </w:numPr>
      <w:ind w:left="720" w:hanging="720"/>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rPr>
  </w:style>
  <w:style w:type="paragraph" w:styleId="Footer">
    <w:name w:val="footer"/>
    <w:basedOn w:val="Normal"/>
    <w:link w:val="FooterChar"/>
    <w:uiPriority w:val="99"/>
    <w:rsid w:val="00847E17"/>
  </w:style>
  <w:style w:type="character" w:customStyle="1" w:styleId="FooterChar">
    <w:name w:val="Footer Char"/>
    <w:basedOn w:val="DefaultParagraphFont"/>
    <w:link w:val="Footer"/>
    <w:uiPriority w:val="99"/>
    <w:rsid w:val="009D66A8"/>
    <w:rPr>
      <w:sz w:val="22"/>
    </w:rPr>
  </w:style>
  <w:style w:type="paragraph" w:styleId="FootnoteText">
    <w:name w:val="footnote text"/>
    <w:basedOn w:val="Normal"/>
    <w:link w:val="FootnoteTextChar"/>
    <w:uiPriority w:val="99"/>
    <w:rsid w:val="00847E1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9D66A8"/>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semiHidden/>
    <w:qFormat/>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Revision">
    <w:name w:val="Revision"/>
    <w:hidden/>
    <w:uiPriority w:val="99"/>
    <w:semiHidden/>
    <w:rsid w:val="00FB1A7C"/>
    <w:rPr>
      <w:sz w:val="22"/>
    </w:rPr>
  </w:style>
  <w:style w:type="paragraph" w:styleId="ListParagraph">
    <w:name w:val="List Paragraph"/>
    <w:basedOn w:val="Normal"/>
    <w:uiPriority w:val="34"/>
    <w:qFormat/>
    <w:rsid w:val="001D6B24"/>
    <w:pPr>
      <w:ind w:left="720"/>
      <w:contextualSpacing/>
    </w:pPr>
  </w:style>
  <w:style w:type="character" w:customStyle="1" w:styleId="UnresolvedMention1">
    <w:name w:val="Unresolved Mention1"/>
    <w:basedOn w:val="DefaultParagraphFont"/>
    <w:uiPriority w:val="99"/>
    <w:semiHidden/>
    <w:unhideWhenUsed/>
    <w:rsid w:val="00B365B9"/>
    <w:rPr>
      <w:color w:val="605E5C"/>
      <w:shd w:val="clear" w:color="auto" w:fill="E1DFDD"/>
    </w:rPr>
  </w:style>
  <w:style w:type="table" w:styleId="TableGrid">
    <w:name w:val="Table Grid"/>
    <w:basedOn w:val="TableNormal"/>
    <w:rsid w:val="00D25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4E4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68170">
      <w:bodyDiv w:val="1"/>
      <w:marLeft w:val="0"/>
      <w:marRight w:val="0"/>
      <w:marTop w:val="0"/>
      <w:marBottom w:val="0"/>
      <w:divBdr>
        <w:top w:val="none" w:sz="0" w:space="0" w:color="auto"/>
        <w:left w:val="none" w:sz="0" w:space="0" w:color="auto"/>
        <w:bottom w:val="none" w:sz="0" w:space="0" w:color="auto"/>
        <w:right w:val="none" w:sz="0" w:space="0" w:color="auto"/>
      </w:divBdr>
    </w:div>
    <w:div w:id="1230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eur-lex.europa.eu/legal-content/EN/TXT/?uri=celex:52025DC0848" TargetMode="Externa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image" Target="media/image1.jp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4_4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389BF32A41030640BE716383420B52A6" ma:contentTypeVersion="4" ma:contentTypeDescription="Defines the documents for Document Manager V2" ma:contentTypeScope="" ma:versionID="042b99dcff4a887fba2645cafa2aa06d">
  <xsd:schema xmlns:xsd="http://www.w3.org/2001/XMLSchema" xmlns:xs="http://www.w3.org/2001/XMLSchema" xmlns:p="http://schemas.microsoft.com/office/2006/metadata/properties" xmlns:ns2="28cf4dd3-9bb7-4441-a43c-55eeac69d3a9" xmlns:ns3="http://schemas.microsoft.com/sharepoint/v3/fields" xmlns:ns4="40d34976-3f3e-4aee-aa1d-cd08ee693468" targetNamespace="http://schemas.microsoft.com/office/2006/metadata/properties" ma:root="true" ma:fieldsID="09a38faafbac82874c74f6aedb37fd5a" ns2:_="" ns3:_="" ns4:_="">
    <xsd:import namespace="28cf4dd3-9bb7-4441-a43c-55eeac69d3a9"/>
    <xsd:import namespace="http://schemas.microsoft.com/sharepoint/v3/fields"/>
    <xsd:import namespace="40d34976-3f3e-4aee-aa1d-cd08ee69346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d34976-3f3e-4aee-aa1d-cd08ee69346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3WJDCDQUXNHJ-974662433-5650</_dlc_DocId>
    <_dlc_DocIdUrl xmlns="28cf4dd3-9bb7-4441-a43c-55eeac69d3a9">
      <Url>http://dm/cor/2025/_layouts/15/DocIdRedir.aspx?ID=3WJDCDQUXNHJ-974662433-5650</Url>
      <Description>3WJDCDQUXNHJ-974662433-5650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2026-07-09T12:00:00+00:00</ProductionDate>
    <FicheYear xmlns="28cf4dd3-9bb7-4441-a43c-55eeac69d3a9" xsi:nil="true"/>
    <DocumentNumber xmlns="40d34976-3f3e-4aee-aa1d-cd08ee693468">4254</DocumentNumber>
    <DossierNumber xmlns="28cf4dd3-9bb7-4441-a43c-55eeac69d3a9">18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 xsi:nil="true"/>
    <TaxCatchAll xmlns="28cf4dd3-9bb7-4441-a43c-55eeac69d3a9">
      <Value>84</Value>
      <Value>10</Value>
      <Value>8</Value>
      <Value>6</Value>
      <Value>103</Value>
      <Value>4</Value>
      <Value>37</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CISZKOWSKI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305465</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2026-07-02T12:00:00+00:00</AdoptionDate>
    <RequestingService xmlns="28cf4dd3-9bb7-4441-a43c-55eeac69d3a9">Commission NAT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0d34976-3f3e-4aee-aa1d-cd08ee693468"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NAT-VIII</TermName>
          <TermId xmlns="http://schemas.microsoft.com/office/infopath/2007/PartnerControls">e9d53e03-0a8a-4e5b-8cd8-cbd8a711451b</TermId>
        </TermInfo>
      </Terms>
    </DossierName_0>
    <DocumentVersion xmlns="28cf4dd3-9bb7-4441-a43c-55eeac69d3a9">0</DocumentVersion>
  </documentManagement>
</p:properties>
</file>

<file path=customXml/itemProps1.xml><?xml version="1.0" encoding="utf-8"?>
<ds:datastoreItem xmlns:ds="http://schemas.openxmlformats.org/officeDocument/2006/customXml" ds:itemID="{9121CF2E-90C3-4B2D-9F2C-52341D2E56AE}"/>
</file>

<file path=customXml/itemProps2.xml><?xml version="1.0" encoding="utf-8"?>
<ds:datastoreItem xmlns:ds="http://schemas.openxmlformats.org/officeDocument/2006/customXml" ds:itemID="{C7E852AE-A2DD-4E84-B367-4B8CEEA4102B}"/>
</file>

<file path=customXml/itemProps3.xml><?xml version="1.0" encoding="utf-8"?>
<ds:datastoreItem xmlns:ds="http://schemas.openxmlformats.org/officeDocument/2006/customXml" ds:itemID="{08607EDD-75C3-45B2-915D-4CDD0A367BB4}"/>
</file>

<file path=customXml/itemProps4.xml><?xml version="1.0" encoding="utf-8"?>
<ds:datastoreItem xmlns:ds="http://schemas.openxmlformats.org/officeDocument/2006/customXml" ds:itemID="{D27C5CAC-B12A-42E4-8775-1D014D584B6C}"/>
</file>

<file path=docMetadata/LabelInfo.xml><?xml version="1.0" encoding="utf-8"?>
<clbl:labelList xmlns:clbl="http://schemas.microsoft.com/office/2020/mipLabelMetadata">
  <clbl:label id="{40efc828-a9b4-45ec-a6c4-7b447404ac6b}" enabled="1" method="Standard" siteId="{01a4edc0-c130-4e09-bfd4-7b7de34700e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5238</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2030 Consumer agenda</vt:lpstr>
    </vt:vector>
  </TitlesOfParts>
  <Company>CESE-CdR</Company>
  <LinksUpToDate>false</LinksUpToDate>
  <CharactersWithSpaces>35031</CharactersWithSpaces>
  <SharedDoc>false</SharedDoc>
  <HLinks>
    <vt:vector size="12" baseType="variant">
      <vt:variant>
        <vt:i4>262169</vt:i4>
      </vt:variant>
      <vt:variant>
        <vt:i4>3</vt:i4>
      </vt:variant>
      <vt:variant>
        <vt:i4>0</vt:i4>
      </vt:variant>
      <vt:variant>
        <vt:i4>5</vt:i4>
      </vt:variant>
      <vt:variant>
        <vt:lpwstr>https://eur-lex.europa.eu/legal-content/EN/TXT/?uri=celex:52025DC0848</vt:lpwstr>
      </vt:variant>
      <vt:variant>
        <vt:lpwstr/>
      </vt:variant>
      <vt:variant>
        <vt:i4>7798887</vt:i4>
      </vt:variant>
      <vt:variant>
        <vt:i4>0</vt:i4>
      </vt:variant>
      <vt:variant>
        <vt:i4>0</vt:i4>
      </vt:variant>
      <vt:variant>
        <vt:i4>5</vt:i4>
      </vt:variant>
      <vt:variant>
        <vt:lpwstr>https://ec.europa.eu/commission/presscorner/detail/en/ip_24_4901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2030 Consumer agenda </dc:title>
  <dc:subject>Committee opinion</dc:subject>
  <dc:creator>Emma Nieddu</dc:creator>
  <cp:keywords>COR-2025-04254-00-00-AC-TRA-EN</cp:keywords>
  <dc:description>Rapporteur: - CISZKOWSKI Original language: - EN Date of document: - 09/07/2026 Date of meeting: -  External documents: - COM(2025)848 Administrator responsible: - MME KOSJEK Anemarija</dc:description>
  <cp:lastModifiedBy>TDriveSVCUserProd</cp:lastModifiedBy>
  <cp:revision>5</cp:revision>
  <cp:lastPrinted>2007-01-10T10:43:00Z</cp:lastPrinted>
  <dcterms:created xsi:type="dcterms:W3CDTF">2026-07-09T11:50:00Z</dcterms:created>
  <dcterms:modified xsi:type="dcterms:W3CDTF">2026-07-09T11:57:00Z</dcterms:modified>
  <cp:category>NAT-VIII/18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09/07/2026, 27/04/2026, 19/03/2026, 21/06/2024</vt:lpwstr>
  </property>
  <property fmtid="{D5CDD505-2E9C-101B-9397-08002B2CF9AE}" pid="4" name="Pref_Time">
    <vt:lpwstr>13:46:35, 10:20:24, 08:39:23, 12:40:47</vt:lpwstr>
  </property>
  <property fmtid="{D5CDD505-2E9C-101B-9397-08002B2CF9AE}" pid="5" name="Pref_User">
    <vt:lpwstr>amett, jhvi, amett, enied</vt:lpwstr>
  </property>
  <property fmtid="{D5CDD505-2E9C-101B-9397-08002B2CF9AE}" pid="6" name="Pref_FileName">
    <vt:lpwstr>COR-2025-04254-00-00-AC-TRA-EN-CRR.docx, COR-2025-04254-00-00-PAC-TRA-EN-CRR.docx, COR-2025-04254-00-00-PA-TRA-PL-CRR.docx, COR-EESC-2024-02227-03-00-TCD-ORI.docx</vt:lpwstr>
  </property>
  <property fmtid="{D5CDD505-2E9C-101B-9397-08002B2CF9AE}" pid="7" name="ContentTypeId">
    <vt:lpwstr>0x010100EA97B91038054C99906057A708A1480A00389BF32A41030640BE716383420B52A6</vt:lpwstr>
  </property>
  <property fmtid="{D5CDD505-2E9C-101B-9397-08002B2CF9AE}" pid="8" name="_dlc_DocIdItemGuid">
    <vt:lpwstr>bbb37d07-b795-4044-8d9d-62e5c6a2003b</vt:lpwstr>
  </property>
  <property fmtid="{D5CDD505-2E9C-101B-9397-08002B2CF9AE}" pid="9" name="AvailableTranslations">
    <vt:lpwstr>4;#EN|f2175f21-25d7-44a3-96da-d6a61b075e1b;#37;#BG|1a1b3951-7821-4e6a-85f5-5673fc08bd2c</vt:lpwstr>
  </property>
  <property fmtid="{D5CDD505-2E9C-101B-9397-08002B2CF9AE}" pid="10" name="DocumentType_0">
    <vt:lpwstr>AC|a4cc1d15-fb08-4679-ad46-e4e0cba5fe92</vt:lpwstr>
  </property>
  <property fmtid="{D5CDD505-2E9C-101B-9397-08002B2CF9AE}" pid="11" name="DossierName_0">
    <vt:lpwstr>NAT-VIII|e9d53e03-0a8a-4e5b-8cd8-cbd8a711451b</vt:lpwstr>
  </property>
  <property fmtid="{D5CDD505-2E9C-101B-9397-08002B2CF9AE}" pid="12" name="DocumentSource_0">
    <vt:lpwstr>CoR|cb2d75ef-4a7d-4393-b797-49ed6298a5ea</vt:lpwstr>
  </property>
  <property fmtid="{D5CDD505-2E9C-101B-9397-08002B2CF9AE}" pid="13" name="DocumentNumber">
    <vt:i4>4254</vt:i4>
  </property>
  <property fmtid="{D5CDD505-2E9C-101B-9397-08002B2CF9AE}" pid="14" name="FicheYear">
    <vt:i4>2025</vt:i4>
  </property>
  <property fmtid="{D5CDD505-2E9C-101B-9397-08002B2CF9AE}" pid="15" name="DocumentVersion">
    <vt:i4>0</vt:i4>
  </property>
  <property fmtid="{D5CDD505-2E9C-101B-9397-08002B2CF9AE}" pid="16" name="DossierNumber">
    <vt:i4>18</vt:i4>
  </property>
  <property fmtid="{D5CDD505-2E9C-101B-9397-08002B2CF9AE}" pid="17" name="DocumentStatus">
    <vt:lpwstr>8;#TRA|150d2a88-1431-44e6-a8ca-0bb753ab8672</vt:lpwstr>
  </property>
  <property fmtid="{D5CDD505-2E9C-101B-9397-08002B2CF9AE}" pid="18" name="DossierName">
    <vt:lpwstr>84;#NAT-VIII|e9d53e03-0a8a-4e5b-8cd8-cbd8a711451b</vt:lpwstr>
  </property>
  <property fmtid="{D5CDD505-2E9C-101B-9397-08002B2CF9AE}" pid="19" name="RequestingService">
    <vt:lpwstr>Commission NAT</vt:lpwstr>
  </property>
  <property fmtid="{D5CDD505-2E9C-101B-9397-08002B2CF9AE}" pid="20" name="Confidentiality">
    <vt:lpwstr>10;#Unrestricted|826e22d7-d029-4ec0-a450-0c28ff673572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84;#NAT-VIII|e9d53e03-0a8a-4e5b-8cd8-cbd8a711451b;#10;#Unrestricted|826e22d7-d029-4ec0-a450-0c28ff673572;#8;#TRA|150d2a88-1431-44e6-a8ca-0bb753ab8672;#6;#Final|ea5e6674-7b27-4bac-b091-73adbb394efe;#103;#AC|a4cc1d15-fb08-4679-ad46-e4e0cba5fe92;#4;#EN|f2175f21-25d7-44a3-96da-d6a61b075e1b;#1;#CoR|cb2d75ef-4a7d-4393-b797-49ed6298a5ea</vt:lpwstr>
  </property>
  <property fmtid="{D5CDD505-2E9C-101B-9397-08002B2CF9AE}" pid="30" name="Rapporteur">
    <vt:lpwstr>CISZKOWSKI</vt:lpwstr>
  </property>
  <property fmtid="{D5CDD505-2E9C-101B-9397-08002B2CF9AE}" pid="31" name="VersionStatus_0">
    <vt:lpwstr>Final|ea5e6674-7b27-4bac-b091-73adbb394efe</vt:lpwstr>
  </property>
  <property fmtid="{D5CDD505-2E9C-101B-9397-08002B2CF9AE}" pid="32" name="VersionStatus">
    <vt:lpwstr>6;#Final|ea5e6674-7b27-4bac-b091-73adbb394efe</vt:lpwstr>
  </property>
  <property fmtid="{D5CDD505-2E9C-101B-9397-08002B2CF9AE}" pid="33" name="DocumentYear">
    <vt:i4>2025</vt:i4>
  </property>
  <property fmtid="{D5CDD505-2E9C-101B-9397-08002B2CF9AE}" pid="34" name="FicheNumber">
    <vt:i4>7272</vt:i4>
  </property>
  <property fmtid="{D5CDD505-2E9C-101B-9397-08002B2CF9AE}" pid="35" name="DocumentPart">
    <vt:i4>0</vt:i4>
  </property>
  <property fmtid="{D5CDD505-2E9C-101B-9397-08002B2CF9AE}" pid="36" name="DocumentSource">
    <vt:lpwstr>1;#CoR|cb2d75ef-4a7d-4393-b797-49ed6298a5ea</vt:lpwstr>
  </property>
  <property fmtid="{D5CDD505-2E9C-101B-9397-08002B2CF9AE}" pid="37" name="AdoptionDate">
    <vt:filetime>2026-07-02T12:00:00Z</vt:filetime>
  </property>
  <property fmtid="{D5CDD505-2E9C-101B-9397-08002B2CF9AE}" pid="38" name="DocumentType">
    <vt:lpwstr>103;#AC|a4cc1d15-fb08-4679-ad46-e4e0cba5fe92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